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2A" w:rsidRDefault="00B01C2A" w:rsidP="00B01C2A">
      <w:pPr>
        <w:widowControl w:val="0"/>
        <w:autoSpaceDE w:val="0"/>
        <w:autoSpaceDN w:val="0"/>
        <w:adjustRightInd w:val="0"/>
        <w:jc w:val="center"/>
        <w:rPr>
          <w:rFonts w:eastAsia="Calibri"/>
          <w:b/>
          <w:bCs/>
          <w:sz w:val="28"/>
          <w:szCs w:val="28"/>
          <w:lang w:eastAsia="en-US"/>
        </w:rPr>
      </w:pPr>
      <w:r>
        <w:rPr>
          <w:rFonts w:eastAsia="Calibri"/>
          <w:b/>
          <w:bCs/>
          <w:sz w:val="28"/>
          <w:szCs w:val="28"/>
          <w:lang w:eastAsia="en-US"/>
        </w:rPr>
        <w:t>ТИПОВАЯ ИНСТРУКЦИЯ</w:t>
      </w:r>
    </w:p>
    <w:p w:rsidR="00B01C2A" w:rsidRDefault="00B01C2A" w:rsidP="00B01C2A">
      <w:pPr>
        <w:widowControl w:val="0"/>
        <w:autoSpaceDE w:val="0"/>
        <w:autoSpaceDN w:val="0"/>
        <w:adjustRightInd w:val="0"/>
        <w:jc w:val="center"/>
        <w:rPr>
          <w:rFonts w:eastAsia="Calibri"/>
          <w:b/>
          <w:bCs/>
          <w:sz w:val="28"/>
          <w:szCs w:val="28"/>
          <w:lang w:eastAsia="en-US"/>
        </w:rPr>
      </w:pPr>
      <w:r>
        <w:rPr>
          <w:rFonts w:eastAsia="Calibri"/>
          <w:b/>
          <w:bCs/>
          <w:sz w:val="28"/>
          <w:szCs w:val="28"/>
          <w:lang w:eastAsia="en-US"/>
        </w:rPr>
        <w:t xml:space="preserve">ПО ОРГАНИЗАЦИИ НАКОПЛЕНИЯ </w:t>
      </w:r>
      <w:proofErr w:type="gramStart"/>
      <w:r>
        <w:rPr>
          <w:rFonts w:eastAsia="Calibri"/>
          <w:b/>
          <w:bCs/>
          <w:sz w:val="28"/>
          <w:szCs w:val="28"/>
          <w:lang w:eastAsia="en-US"/>
        </w:rPr>
        <w:t>ОТРАБОТАННЫХ</w:t>
      </w:r>
      <w:proofErr w:type="gramEnd"/>
      <w:r>
        <w:rPr>
          <w:rFonts w:eastAsia="Calibri"/>
          <w:b/>
          <w:bCs/>
          <w:sz w:val="28"/>
          <w:szCs w:val="28"/>
          <w:lang w:eastAsia="en-US"/>
        </w:rPr>
        <w:t xml:space="preserve"> РТУТЬСОДЕРЖАЩИХ</w:t>
      </w:r>
    </w:p>
    <w:p w:rsidR="00B01C2A" w:rsidRDefault="00B01C2A" w:rsidP="00B01C2A">
      <w:pPr>
        <w:widowControl w:val="0"/>
        <w:autoSpaceDE w:val="0"/>
        <w:autoSpaceDN w:val="0"/>
        <w:adjustRightInd w:val="0"/>
        <w:jc w:val="center"/>
        <w:rPr>
          <w:rFonts w:eastAsia="Calibri"/>
          <w:b/>
          <w:bCs/>
          <w:sz w:val="28"/>
          <w:szCs w:val="28"/>
          <w:lang w:eastAsia="en-US"/>
        </w:rPr>
      </w:pPr>
      <w:r>
        <w:rPr>
          <w:rFonts w:eastAsia="Calibri"/>
          <w:b/>
          <w:bCs/>
          <w:sz w:val="28"/>
          <w:szCs w:val="28"/>
          <w:lang w:eastAsia="en-US"/>
        </w:rPr>
        <w:t>ОТХОДОВ</w:t>
      </w:r>
    </w:p>
    <w:p w:rsidR="00B01C2A" w:rsidRDefault="00B01C2A" w:rsidP="00B01C2A">
      <w:pPr>
        <w:widowControl w:val="0"/>
        <w:autoSpaceDE w:val="0"/>
        <w:autoSpaceDN w:val="0"/>
        <w:adjustRightInd w:val="0"/>
        <w:jc w:val="both"/>
        <w:rPr>
          <w:rFonts w:eastAsia="Calibri"/>
          <w:sz w:val="26"/>
          <w:szCs w:val="26"/>
          <w:lang w:eastAsia="en-US"/>
        </w:rPr>
      </w:pP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При разбивании отработанных ртутьсодержащих ламп необходимые </w:t>
      </w:r>
      <w:proofErr w:type="spellStart"/>
      <w:r>
        <w:rPr>
          <w:rFonts w:eastAsia="Calibri"/>
          <w:sz w:val="28"/>
          <w:szCs w:val="28"/>
          <w:lang w:eastAsia="en-US"/>
        </w:rPr>
        <w:t>демеркуризационные</w:t>
      </w:r>
      <w:proofErr w:type="spellEnd"/>
      <w:r>
        <w:rPr>
          <w:rFonts w:eastAsia="Calibri"/>
          <w:sz w:val="28"/>
          <w:szCs w:val="28"/>
          <w:lang w:eastAsia="en-US"/>
        </w:rPr>
        <w:t xml:space="preserve"> работы осуществляются лицами, ответственными за накопление отработанных ртутьсодержащих ламп на предприятии (организации).</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В случае выявления разбитых ртутьсодержащих ламп необходимо:</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поставить в известность руководителя предприятия (организации);</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удалить из помещения персонал, не занятый </w:t>
      </w:r>
      <w:proofErr w:type="spellStart"/>
      <w:r>
        <w:rPr>
          <w:rFonts w:eastAsia="Calibri"/>
          <w:sz w:val="28"/>
          <w:szCs w:val="28"/>
          <w:lang w:eastAsia="en-US"/>
        </w:rPr>
        <w:t>демеркуризационными</w:t>
      </w:r>
      <w:proofErr w:type="spellEnd"/>
      <w:r>
        <w:rPr>
          <w:rFonts w:eastAsia="Calibri"/>
          <w:sz w:val="28"/>
          <w:szCs w:val="28"/>
          <w:lang w:eastAsia="en-US"/>
        </w:rPr>
        <w:t xml:space="preserve"> работами;</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собрать осколки ламп подручными приспособлениями;</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убедиться путем тщательного осмотра в полноте сбора осколков, в том числе учесть наличие щелей в полу;</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обработать обильно (0,5-1,0 л/кв. м) загрязненные места с помощью кисти одним из следующих </w:t>
      </w:r>
      <w:proofErr w:type="spellStart"/>
      <w:r>
        <w:rPr>
          <w:rFonts w:eastAsia="Calibri"/>
          <w:sz w:val="28"/>
          <w:szCs w:val="28"/>
          <w:lang w:eastAsia="en-US"/>
        </w:rPr>
        <w:t>демеркуризационных</w:t>
      </w:r>
      <w:proofErr w:type="spellEnd"/>
      <w:r>
        <w:rPr>
          <w:rFonts w:eastAsia="Calibri"/>
          <w:sz w:val="28"/>
          <w:szCs w:val="28"/>
          <w:lang w:eastAsia="en-US"/>
        </w:rPr>
        <w:t xml:space="preserve"> растворов: 20-процентным раствором хлорного железа или 10-процентным раствором перманганата </w:t>
      </w:r>
      <w:r>
        <w:rPr>
          <w:rFonts w:eastAsia="Calibri"/>
          <w:sz w:val="28"/>
          <w:szCs w:val="28"/>
          <w:lang w:eastAsia="en-US"/>
        </w:rPr>
        <w:lastRenderedPageBreak/>
        <w:t>калия, подкисленного 5-процентной соляной кислотой;</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оставить </w:t>
      </w:r>
      <w:proofErr w:type="spellStart"/>
      <w:r>
        <w:rPr>
          <w:rFonts w:eastAsia="Calibri"/>
          <w:sz w:val="28"/>
          <w:szCs w:val="28"/>
          <w:lang w:eastAsia="en-US"/>
        </w:rPr>
        <w:t>демеркуризационный</w:t>
      </w:r>
      <w:proofErr w:type="spellEnd"/>
      <w:r>
        <w:rPr>
          <w:rFonts w:eastAsia="Calibri"/>
          <w:sz w:val="28"/>
          <w:szCs w:val="28"/>
          <w:lang w:eastAsia="en-US"/>
        </w:rPr>
        <w:t xml:space="preserve"> раствор на загрязненном месте на 4-6 часов. Тщательно вымыть загрязненный участок мыльной водой;</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после каждого этапа работ тщательно мыть руки. Все работы проводятся в резиновых перчатках и респираторе (марлевой повязке);</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сообщить о происшествии в ЕДДС Цимлянского района: 05, 5-11-88.</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При накоплении отработанных ртутьсодержащих ламп запрещается:</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выбрасывать лампы в мусорные контейнеры, закапывать в землю, сжигать загрязненную ртутью тару;</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хранить лампы вблизи нагревательных или отопительных приборов; дополнительно разламывать поврежденные ртутные лампы с целью извлечения ртути;</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привлекать для работ с отработанными ртутьсодержащими лампами лиц моложе 18 лет.</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B01C2A" w:rsidRDefault="00B01C2A" w:rsidP="00B01C2A">
      <w:pPr>
        <w:widowControl w:val="0"/>
        <w:autoSpaceDE w:val="0"/>
        <w:autoSpaceDN w:val="0"/>
        <w:adjustRightInd w:val="0"/>
        <w:ind w:firstLine="540"/>
        <w:jc w:val="both"/>
        <w:rPr>
          <w:rFonts w:eastAsia="Calibri"/>
          <w:sz w:val="28"/>
          <w:szCs w:val="28"/>
          <w:lang w:eastAsia="en-US"/>
        </w:rPr>
      </w:pPr>
      <w:r>
        <w:rPr>
          <w:rFonts w:eastAsia="Calibri"/>
          <w:sz w:val="28"/>
          <w:szCs w:val="28"/>
          <w:lang w:eastAsia="en-US"/>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5%-ным раствором хлорида цинка, 2%-ным раствором танина, принятие </w:t>
      </w:r>
      <w:proofErr w:type="spellStart"/>
      <w:r>
        <w:rPr>
          <w:rFonts w:eastAsia="Calibri"/>
          <w:sz w:val="28"/>
          <w:szCs w:val="28"/>
          <w:lang w:eastAsia="en-US"/>
        </w:rPr>
        <w:t>цистамина</w:t>
      </w:r>
      <w:proofErr w:type="spellEnd"/>
      <w:r>
        <w:rPr>
          <w:rFonts w:eastAsia="Calibri"/>
          <w:sz w:val="28"/>
          <w:szCs w:val="28"/>
          <w:lang w:eastAsia="en-US"/>
        </w:rPr>
        <w:t xml:space="preserve"> (0,3 г). Срочная госпитализация пострадавшего.</w:t>
      </w:r>
    </w:p>
    <w:p w:rsidR="00DA2537" w:rsidRDefault="00DA2537"/>
    <w:sectPr w:rsidR="00DA2537" w:rsidSect="00DA2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1C2A"/>
    <w:rsid w:val="00B01C2A"/>
    <w:rsid w:val="00DA2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7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2022-12-06T12:01:00Z</dcterms:created>
  <dcterms:modified xsi:type="dcterms:W3CDTF">2022-12-06T12:02:00Z</dcterms:modified>
</cp:coreProperties>
</file>