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  </w:t>
      </w:r>
      <w:r>
        <w:rPr>
          <w:b/>
          <w:szCs w:val="28"/>
        </w:rPr>
        <w:t xml:space="preserve">РОССИЙСКАЯ ФЕДЕРАЦИЯ                </w:t>
      </w:r>
      <w:r>
        <w:rPr>
          <w:b/>
          <w:szCs w:val="28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ЦИМЛЯНСКИЙ РАЙОН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«САРКЕЛОВСКОЕ СЕЛЬСКОЕ ПОСЕЛЕНИЕ»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САРКЕЛОВСКОГО СЕЛЬСКОГО ПОСЕЛЕНИЯ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</w:p>
    <w:p>
      <w:pPr>
        <w:pStyle w:val="Normal"/>
        <w:shd w:val="clear" w:color="auto" w:fill="FFFFFF"/>
        <w:tabs>
          <w:tab w:val="clear" w:pos="708"/>
          <w:tab w:val="center" w:pos="4818" w:leader="none"/>
          <w:tab w:val="left" w:pos="4962" w:leader="none"/>
          <w:tab w:val="left" w:pos="5910" w:leader="none"/>
          <w:tab w:val="left" w:pos="8117" w:leader="underscore"/>
        </w:tabs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ab/>
      </w:r>
    </w:p>
    <w:p>
      <w:pPr>
        <w:pStyle w:val="Normal"/>
        <w:shd w:val="clear" w:color="auto" w:fill="FFFFFF"/>
        <w:tabs>
          <w:tab w:val="clear" w:pos="708"/>
          <w:tab w:val="left" w:pos="4962" w:leader="none"/>
          <w:tab w:val="left" w:pos="8117" w:leader="underscore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00 </w:t>
      </w:r>
      <w:r>
        <w:rPr>
          <w:sz w:val="28"/>
          <w:szCs w:val="28"/>
        </w:rPr>
        <w:t>»          2023г.                                                                        пос.Саркел</w:t>
      </w:r>
    </w:p>
    <w:p>
      <w:pPr>
        <w:pStyle w:val="Normal"/>
        <w:shd w:val="clear" w:color="auto" w:fill="FFFFFF"/>
        <w:tabs>
          <w:tab w:val="clear" w:pos="708"/>
          <w:tab w:val="left" w:pos="4962" w:leader="none"/>
          <w:tab w:val="left" w:pos="8117" w:leader="underscore"/>
        </w:tabs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</w:r>
    </w:p>
    <w:p>
      <w:pPr>
        <w:pStyle w:val="ConsPlusTitle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О бюджете Саркеловского сельского поселения</w:t>
      </w:r>
    </w:p>
    <w:p>
      <w:pPr>
        <w:pStyle w:val="ConsPlusTitle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Цимлянского района на 2024 год</w:t>
        <w:br/>
        <w:t>и на плановый период 2025 и 2026 годов</w:t>
      </w:r>
    </w:p>
    <w:p>
      <w:pPr>
        <w:pStyle w:val="ConsPlusTitle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.</w:t>
      </w:r>
      <w:bookmarkStart w:id="0" w:name="_GoBack"/>
      <w:bookmarkEnd w:id="0"/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муниципального образования «Саркеловское сельское поселение» Собрание депутатов Саркеловского сельского поселения,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  <w:r>
        <w:rPr>
          <w:b/>
          <w:iCs/>
          <w:sz w:val="28"/>
          <w:szCs w:val="28"/>
        </w:rPr>
        <w:t xml:space="preserve">    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Утвердить основные характеристики бюджета Саркеловского сельского поселения Цимлянского района (далее по тексту - бюджета поселения) на 2024 год, определенные с учетом уровня инфляции, не превышающего 4,5 процента (декабрь 2024 года к декабрю 2023 года):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Прогнозируемый общий объем доходов бюджета поселения в сумме 68 352,5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Общий объем расходов бюджета поселения в сумме 68 352,5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Верхний предел муниципального внутреннего долга Саркеловского сельского поселения на 1 января 2025 года в сумме 0,0 тыс. рублей, в том числе верхний предел долга по муниципальным гарантиям Саркеловского сельского поселения в сумме 0,0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Объем расходов на обслуживание муниципального долга Саркеловского сельского поселения в сумме 0,0 тыс. рублей;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Прогнозируемый дефицит бюджета поселения в сумме 0,0 тыс. рублей.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Утвердить основные характеристики </w:t>
      </w:r>
      <w:r>
        <w:rPr>
          <w:sz w:val="28"/>
          <w:szCs w:val="28"/>
        </w:rPr>
        <w:t xml:space="preserve">бюджета поселения </w:t>
      </w:r>
      <w:r>
        <w:rPr>
          <w:iCs/>
          <w:sz w:val="28"/>
          <w:szCs w:val="28"/>
        </w:rPr>
        <w:t>на плановый период 2025 и 2026 годов, определенные с учетом уровня инфляции , не превышающего 4,0 процента(декабрь 2025 года к декабрю 2024 года) и 4,0 процента  (декабрь 2026 года к декабрю 2025 года)соответственно.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2.1. Прогнозируемый общий объем доходов </w:t>
      </w:r>
      <w:r>
        <w:rPr>
          <w:sz w:val="28"/>
          <w:szCs w:val="28"/>
        </w:rPr>
        <w:t xml:space="preserve">бюджета поселения </w:t>
      </w:r>
      <w:r>
        <w:rPr>
          <w:iCs/>
          <w:sz w:val="28"/>
          <w:szCs w:val="28"/>
        </w:rPr>
        <w:t>на 2025 год в сумме 11 518,9 тыс. рублей и на 2026 год в сумме 10 710,1 тыс. рублей;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2.2. Общий объем расходов </w:t>
      </w:r>
      <w:r>
        <w:rPr>
          <w:sz w:val="28"/>
          <w:szCs w:val="28"/>
        </w:rPr>
        <w:t xml:space="preserve">бюджета поселения </w:t>
      </w:r>
      <w:r>
        <w:rPr>
          <w:iCs/>
          <w:sz w:val="28"/>
          <w:szCs w:val="28"/>
        </w:rPr>
        <w:t xml:space="preserve">на 2025 год в сумме 11 518,9 тыс. рублей, в том числе условно утвержденные расходы в сумме 277,0 тыс. рублей, и на 2026 год в сумме 10 710,1 тыс. рублей, </w:t>
      </w:r>
      <w:r>
        <w:rPr>
          <w:sz w:val="28"/>
          <w:szCs w:val="28"/>
        </w:rPr>
        <w:t>в том числе условно утвержденные расходы в сумме 511,0 тыс. рублей</w:t>
      </w:r>
      <w:r>
        <w:rPr>
          <w:iCs/>
          <w:sz w:val="28"/>
          <w:szCs w:val="28"/>
        </w:rPr>
        <w:t>;</w:t>
      </w:r>
    </w:p>
    <w:p>
      <w:pPr>
        <w:pStyle w:val="Normal"/>
        <w:ind w:firstLine="851"/>
        <w:rPr>
          <w:iCs/>
          <w:sz w:val="28"/>
          <w:szCs w:val="28"/>
        </w:rPr>
      </w:pPr>
      <w:r>
        <w:rPr>
          <w:iCs/>
          <w:sz w:val="28"/>
          <w:szCs w:val="28"/>
        </w:rPr>
        <w:t>2.3. Верхний предел муниципального внутреннего долга Саркеловского сельского поселения на 1 января 2026 года в сумме 0,0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тыс. рублей, в том числе верхний предел долга по муниципальным гарантиям Саркеловского сельского поселения в сумме 0,0 тыс. рублей, и верхний предел муниципального внутреннего долга Саркеловского сельского поселения на 1 января </w:t>
      </w:r>
      <w:r>
        <w:rPr>
          <w:iCs/>
          <w:spacing w:val="-4"/>
          <w:sz w:val="28"/>
          <w:szCs w:val="28"/>
        </w:rPr>
        <w:t>2027 года в сумме 0,0</w:t>
      </w:r>
      <w:r>
        <w:rPr>
          <w:sz w:val="28"/>
          <w:szCs w:val="28"/>
        </w:rPr>
        <w:t xml:space="preserve"> </w:t>
      </w:r>
      <w:r>
        <w:rPr>
          <w:iCs/>
          <w:spacing w:val="-4"/>
          <w:sz w:val="28"/>
          <w:szCs w:val="28"/>
        </w:rPr>
        <w:t xml:space="preserve">тыс. рублей, в том числе верхний предел долга </w:t>
      </w:r>
      <w:r>
        <w:rPr>
          <w:iCs/>
          <w:sz w:val="28"/>
          <w:szCs w:val="28"/>
        </w:rPr>
        <w:t>по муниципальным гарантиям Саркеловского сельского поселения в сумме 0,0 тыс. рублей;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2.4. Объем расходов на обслуживание муниципального долга Саркеловского сельского поселения на 2025 год в сумме 0,0 тыс. рублей и на 2026 год в сумме 0,0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тыс. рублей;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2.5 Прогнозируемый дефицит </w:t>
      </w:r>
      <w:r>
        <w:rPr>
          <w:sz w:val="28"/>
          <w:szCs w:val="28"/>
        </w:rPr>
        <w:t xml:space="preserve">бюджета поселения </w:t>
      </w:r>
      <w:r>
        <w:rPr>
          <w:iCs/>
          <w:sz w:val="28"/>
          <w:szCs w:val="28"/>
        </w:rPr>
        <w:t>на 2025 год в сумме 0,0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тыс. рублей и на 2026 год в сумме 0,0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тыс. рублей.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 Учесть в бюджете поселения объем поступлений доходов бюджета Саркеловского сельского поселения Цимлянского района на 2024 год и на плановый период 2025 и 2026 годов согласно </w:t>
      </w:r>
      <w:hyperlink r:id="rId2">
        <w:r>
          <w:rPr>
            <w:rStyle w:val="Style"/>
            <w:sz w:val="28"/>
            <w:szCs w:val="28"/>
          </w:rPr>
          <w:t>приложению 1</w:t>
        </w:r>
      </w:hyperlink>
      <w:r>
        <w:rPr>
          <w:sz w:val="28"/>
          <w:szCs w:val="28"/>
        </w:rPr>
        <w:t xml:space="preserve"> к настоящему </w:t>
      </w:r>
      <w:r>
        <w:rPr>
          <w:iCs/>
          <w:sz w:val="28"/>
          <w:szCs w:val="28"/>
        </w:rPr>
        <w:t>решению.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Cs/>
          <w:sz w:val="28"/>
          <w:szCs w:val="28"/>
        </w:rPr>
        <w:t xml:space="preserve">Утвердить источники финансирования дефицита </w:t>
      </w:r>
      <w:r>
        <w:rPr>
          <w:sz w:val="28"/>
          <w:szCs w:val="28"/>
        </w:rPr>
        <w:t xml:space="preserve">бюджета поселения </w:t>
      </w:r>
      <w:r>
        <w:rPr>
          <w:iCs/>
          <w:sz w:val="28"/>
          <w:szCs w:val="28"/>
        </w:rPr>
        <w:t>на 2024 год</w:t>
      </w:r>
      <w:r>
        <w:rPr>
          <w:sz w:val="28"/>
          <w:szCs w:val="28"/>
        </w:rPr>
        <w:t xml:space="preserve"> и </w:t>
      </w:r>
      <w:r>
        <w:rPr>
          <w:iCs/>
          <w:sz w:val="28"/>
          <w:szCs w:val="28"/>
        </w:rPr>
        <w:t xml:space="preserve">на плановый период 2025 и 2026 годов согласно </w:t>
      </w:r>
      <w:hyperlink r:id="rId3">
        <w:r>
          <w:rPr>
            <w:rStyle w:val="Style"/>
            <w:iCs/>
            <w:sz w:val="28"/>
            <w:szCs w:val="28"/>
          </w:rPr>
          <w:t>приложению 2</w:t>
        </w:r>
      </w:hyperlink>
      <w:r>
        <w:rPr>
          <w:iCs/>
          <w:sz w:val="28"/>
          <w:szCs w:val="28"/>
        </w:rPr>
        <w:t xml:space="preserve"> к настоящему решению.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Утвердить общий объем бюджетных ассигнований на исполнение публичных нормативных обязательств Саркеловского сельского поселения на 2024 год в сумме 90,1 тыс. рублей, на 2025 год в сумме 92,0 тыс. рублей и на 2026 год в сумме 94,0 тыс. рублей.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Утвердить:</w:t>
      </w:r>
    </w:p>
    <w:p>
      <w:pPr>
        <w:pStyle w:val="Normal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6.1. Распределение бюджетных ассигнований по разделам, подразделам,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hyperlink r:id="rId4">
        <w:r>
          <w:rPr>
            <w:rStyle w:val="Style"/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3 к настоящему решению</w:t>
      </w:r>
      <w:r>
        <w:rPr>
          <w:iCs/>
          <w:sz w:val="28"/>
          <w:szCs w:val="28"/>
        </w:rPr>
        <w:t>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6.2. Ведомственную структуру расходов бюджета поселения на 2024 год и на плановый период 2025 и 2026 годов согласно </w:t>
      </w:r>
      <w:hyperlink r:id="rId5">
        <w:r>
          <w:rPr>
            <w:rStyle w:val="Style"/>
            <w:rFonts w:cs="Times New Roman"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cs="Times New Roman" w:ascii="Times New Roman" w:hAnsi="Times New Roman"/>
          <w:sz w:val="28"/>
          <w:szCs w:val="28"/>
        </w:rPr>
        <w:t>4 к настоящему решению;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6.3. Распределение бюджетных ассигнований по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 согласно </w:t>
      </w:r>
      <w:hyperlink r:id="rId6">
        <w:r>
          <w:rPr>
            <w:rStyle w:val="Style"/>
            <w:rFonts w:cs="Times New Roman"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cs="Times New Roman" w:ascii="Times New Roman" w:hAnsi="Times New Roman"/>
          <w:sz w:val="28"/>
          <w:szCs w:val="28"/>
        </w:rPr>
        <w:t xml:space="preserve">5 к настоящему бюджета поселения. 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 </w:t>
      </w:r>
      <w:r>
        <w:rPr>
          <w:rFonts w:cs="Times New Roman" w:ascii="Times New Roman" w:hAnsi="Times New Roman"/>
          <w:sz w:val="28"/>
        </w:rPr>
        <w:t>Установить, что индексация должностных окладов муниципальных служащих</w:t>
      </w:r>
      <w:r>
        <w:rPr>
          <w:rFonts w:cs="Times New Roman" w:ascii="Times New Roman" w:hAnsi="Times New Roman"/>
          <w:sz w:val="28"/>
          <w:szCs w:val="28"/>
        </w:rPr>
        <w:t xml:space="preserve"> Саркеловского сельского поселения</w:t>
      </w:r>
      <w:r>
        <w:rPr>
          <w:rFonts w:cs="Times New Roman" w:ascii="Times New Roman" w:hAnsi="Times New Roman"/>
          <w:sz w:val="28"/>
        </w:rPr>
        <w:t xml:space="preserve"> в 2024 году не осуществляется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</w:t>
      </w:r>
      <w:r>
        <w:rPr>
          <w:rFonts w:cs="Times New Roman" w:ascii="Times New Roman" w:hAnsi="Times New Roman"/>
          <w:sz w:val="28"/>
        </w:rPr>
        <w:t>Установить</w:t>
      </w:r>
      <w:r>
        <w:rPr>
          <w:rFonts w:cs="Times New Roman" w:ascii="Times New Roman" w:hAnsi="Times New Roman"/>
          <w:sz w:val="28"/>
          <w:szCs w:val="28"/>
        </w:rPr>
        <w:t xml:space="preserve"> ,что размеры должностных окладов технического персонала и ставок заработной платы обслуживающего персонала органов местного самоуправления индексируются с 1 октября 2024 года на 4,5 процента,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</w:t>
      </w:r>
      <w:r>
        <w:rPr>
          <w:rFonts w:cs="Times New Roman" w:ascii="Times New Roman" w:hAnsi="Times New Roman"/>
          <w:sz w:val="28"/>
        </w:rPr>
        <w:t>Установить, что индексация должностных окладов муниципальных служащих</w:t>
      </w:r>
      <w:r>
        <w:rPr>
          <w:rFonts w:cs="Times New Roman" w:ascii="Times New Roman" w:hAnsi="Times New Roman"/>
          <w:sz w:val="28"/>
          <w:szCs w:val="28"/>
        </w:rPr>
        <w:t xml:space="preserve"> Саркеловского сельского поселения</w:t>
      </w:r>
      <w:r>
        <w:rPr>
          <w:rFonts w:cs="Times New Roman" w:ascii="Times New Roman" w:hAnsi="Times New Roman"/>
          <w:sz w:val="28"/>
        </w:rPr>
        <w:t xml:space="preserve"> ,</w:t>
      </w:r>
      <w:r>
        <w:rPr>
          <w:rFonts w:cs="Times New Roman" w:ascii="Times New Roman" w:hAnsi="Times New Roman"/>
          <w:sz w:val="28"/>
          <w:szCs w:val="28"/>
        </w:rPr>
        <w:t xml:space="preserve"> технического персонала и ставок заработной платы обслуживающего персонала органов местного самоуправления индексируются с 1 октября 2025 года на 4,0 процента, с 1 октября 2026 года на 4,0 процента.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Установить , что размеры должностных окладов руководителей , специалистов и служащих , ставок заработной платы рабочих муниципальных учреждений Саркеловского сельского поселения индексируются с 1 октября 2024 года на 4,5 процента, с 1 октября 2025 года на 4,0 процента, с 1 октября 2026 года на 4,0 процента.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 Направить субвенции  предоставляемые бюджету  Саркеловского сельского поселения на 2024 год и на плановый период 2025 и 2026 годов, согласно приложению 6 к настоящему решению.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Установить, что субвенции, расходуются в соответствии с требованиями бюджетного законодательства в порядке, установленном Правительством Ростовской области.</w:t>
      </w:r>
    </w:p>
    <w:p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 Направить иные межбюджетные трансферты предоставляемые бюджету Саркеловского сельского поселения на 2024 год и на плановый период 2025 и 2026 годов, согласно приложению 7 к настоящему решению.</w:t>
      </w:r>
    </w:p>
    <w:p>
      <w:pPr>
        <w:pStyle w:val="Normal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13.Утвердить общий объем межбюджетных трансфертов, предоставляемых другим бюджетам бюджетной системы Российской Федерации на 2024 год в сумме 62,1 тыс. рублей, на 2025 год в сумме 62,1 тыс. рублей и на 2026 год в сумме 62,1 тыс. рублей.</w:t>
      </w:r>
    </w:p>
    <w:p>
      <w:pPr>
        <w:pStyle w:val="Normal"/>
        <w:numPr>
          <w:ilvl w:val="0"/>
          <w:numId w:val="0"/>
        </w:num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14. Утвердить распределение межбюджетных трансфертов, предоставляемых другим бюджетам бюджетной системы Российской Федерации на 2024 год и на плановый период 2025 и 2026 годов, согласно приложению № 8 к настоящему решению.</w:t>
      </w:r>
    </w:p>
    <w:p>
      <w:pPr>
        <w:pStyle w:val="Normal"/>
        <w:widowControl/>
        <w:ind w:firstLine="72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15.</w:t>
      </w:r>
      <w:r>
        <w:rPr>
          <w:rFonts w:cs="Arial"/>
          <w:sz w:val="28"/>
          <w:szCs w:val="28"/>
        </w:rPr>
        <w:t>Установить, что субсидии из бюджета сельского поселения предоставляются следующим категориям юридических лиц (за исключением субсидий муниципальным учреждениям), индивидуальных предпринимателей, физических лиц - производителей товаров (работ, услуг), некоммерческим организациям, не являющимся казенными учреждениями: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</w:t>
      </w:r>
      <w:r>
        <w:rPr>
          <w:rFonts w:cs="Arial"/>
          <w:sz w:val="28"/>
          <w:szCs w:val="28"/>
        </w:rPr>
        <w:t xml:space="preserve">15.1. </w:t>
      </w:r>
      <w:r>
        <w:rPr>
          <w:sz w:val="28"/>
          <w:szCs w:val="28"/>
        </w:rPr>
        <w:t>предприятиям жилищно-коммунального хозяйства на возмещение предприятиям жилищно-коммунального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 в рамках подпрограммы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</w:t>
      </w:r>
    </w:p>
    <w:p>
      <w:pPr>
        <w:pStyle w:val="Normal"/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16. </w:t>
      </w:r>
      <w:r>
        <w:rPr>
          <w:rFonts w:eastAsia="Calibri"/>
          <w:color w:val="000000"/>
          <w:sz w:val="28"/>
          <w:szCs w:val="28"/>
        </w:rPr>
        <w:t>Установить, что:</w:t>
      </w:r>
    </w:p>
    <w:p>
      <w:pPr>
        <w:pStyle w:val="Normal"/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субсидии, указанные в </w:t>
      </w:r>
      <w:r>
        <w:rPr>
          <w:color w:val="000000"/>
          <w:sz w:val="28"/>
          <w:szCs w:val="28"/>
        </w:rPr>
        <w:t>пункте 13 настоящего решения</w:t>
      </w:r>
      <w:r>
        <w:rPr>
          <w:rFonts w:eastAsia="Calibri"/>
          <w:color w:val="000000"/>
          <w:sz w:val="28"/>
          <w:szCs w:val="28"/>
        </w:rPr>
        <w:t>, предоставляются:</w:t>
      </w:r>
    </w:p>
    <w:p>
      <w:pPr>
        <w:pStyle w:val="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условии, что получатели субсидий – юридические лица не находятся в процессе реорганизации, ликвидации, банкротства;</w:t>
      </w:r>
    </w:p>
    <w:p>
      <w:pPr>
        <w:pStyle w:val="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условии, что получатели субсидий – индивидуальные предприниматели не прекратили деятельность в качестве индивидуального предпринимателя;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условии государственной регистрации или постановки на учет в налоговом органе получателей субсидий на территории Ростовской области;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отсутствии у получателей субсидий просроченной задолженности по возврату в бюджет сельского поселения субсидий и иной просроченной задолженности перед бюджетом сельского поселения;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условии, что получатели субсидий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 в совокупности превышает 50 процентов;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условии, что получатели субсидий</w:t>
      </w:r>
      <w:r>
        <w:rPr>
          <w:sz w:val="28"/>
          <w:szCs w:val="28"/>
        </w:rPr>
        <w:t xml:space="preserve">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>
      <w:pPr>
        <w:pStyle w:val="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17.Субсидии, указанные в пункте 13 настоящего решения, предоставляются в соответствии с нормативными правовыми актами Администрации Саркеловского сельского поселения.</w:t>
      </w:r>
    </w:p>
    <w:p>
      <w:pPr>
        <w:pStyle w:val="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18. Установить в соответствии с подпунктом 4.1.4 пункта 4.1 раздела 4 Решения Собрания депутатов Саркеловского сельского поселения Цимлянского района от 27.09.2007 №8 «Об утверждении Положения о бюджетном процессе в Саркеловском сельском поселении», что основанием для внесения в 2024 году изменений в показатели сводной бюджетной росписи бюджета поселения являются:</w:t>
      </w:r>
    </w:p>
    <w:p>
      <w:pPr>
        <w:pStyle w:val="Normal"/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18.1.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поселения; </w:t>
      </w:r>
    </w:p>
    <w:p>
      <w:pPr>
        <w:pStyle w:val="Normal"/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18.2.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поселения, на реализацию региональных проектов, входящих в состав национальных проектов, не противоречащее бюджетному законодательству;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19. Установить, что территориальные органы Федерального казначейства осуществляют в порядке, установленном Правительством Российской Федерации в соответствии с пунктом 3 статьи 242.23 Бюджетного кодекса Российской Федерации, казначейское сопровождение в соответствии с обращением Администрации Саркеловского сельского поселения.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20. Установить в соответствии со статьей 242.26 Бюджетного кодекса Российской Федерации, что казначейскому сопровождению в 2024 году подлежат средства бюджета Саркеловского сельского поселения: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авансы и расчеты по муниципальным контрактам, заключаемым на сумму более 50 миллионов рублей;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авансы и расчеты по контрактам (договорам), заключаемым на сумму более 50 миллионов рублей муниципальными бюджетными или автономными учреждениями, лицевые счета которым открыты в территориальных органах Федерального казначейства, за счет средств, поступающих указанным учреждениям в соответствии с законодательством Российской Федерации.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21. Настоящее решение вступает в силу  с 1 января 2024 года.</w:t>
      </w:r>
    </w:p>
    <w:p>
      <w:pPr>
        <w:pStyle w:val="BlockText"/>
        <w:ind w:firstLine="720" w:left="0" w:right="0"/>
        <w:rPr>
          <w:szCs w:val="28"/>
        </w:rPr>
      </w:pPr>
      <w:r>
        <w:rPr>
          <w:szCs w:val="28"/>
        </w:rPr>
      </w:r>
    </w:p>
    <w:p>
      <w:pPr>
        <w:pStyle w:val="BlockText"/>
        <w:ind w:firstLine="720" w:left="0" w:right="0"/>
        <w:rPr>
          <w:szCs w:val="28"/>
        </w:rPr>
      </w:pPr>
      <w:r>
        <w:rPr>
          <w:szCs w:val="28"/>
        </w:rPr>
      </w:r>
    </w:p>
    <w:p>
      <w:pPr>
        <w:pStyle w:val="BlockText"/>
        <w:ind w:firstLine="720" w:left="0" w:right="0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0"/>
        </w:numPr>
        <w:ind w:firstLine="90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 -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Саркеловского сельского поселения                                   </w:t>
      </w:r>
      <w:r>
        <w:rPr>
          <w:sz w:val="28"/>
          <w:szCs w:val="28"/>
        </w:rPr>
        <w:t>З.С Попова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95"/>
        <w:gridCol w:w="4667"/>
        <w:gridCol w:w="987"/>
        <w:gridCol w:w="986"/>
        <w:gridCol w:w="1202"/>
      </w:tblGrid>
      <w:tr>
        <w:trPr>
          <w:trHeight w:val="930" w:hRule="atLeast"/>
        </w:trPr>
        <w:tc>
          <w:tcPr>
            <w:tcW w:w="9637" w:type="dxa"/>
            <w:gridSpan w:val="5"/>
            <w:tcBorders/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Объем поступлений доходов бюджета Саркеловского сельского поселения Цимлянского района на 2024 год и на плановый период 2025 и 2026 годов</w:t>
            </w:r>
          </w:p>
        </w:tc>
      </w:tr>
      <w:tr>
        <w:trPr>
          <w:trHeight w:val="375" w:hRule="atLeast"/>
        </w:trPr>
        <w:tc>
          <w:tcPr>
            <w:tcW w:w="1795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7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2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60" w:hRule="atLeast"/>
        </w:trPr>
        <w:tc>
          <w:tcPr>
            <w:tcW w:w="1795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7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2" w:type="dxa"/>
            <w:tcBorders/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>
        <w:trPr>
          <w:trHeight w:val="368" w:hRule="atLeast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>
        <w:trPr>
          <w:trHeight w:val="368" w:hRule="atLeast"/>
        </w:trPr>
        <w:tc>
          <w:tcPr>
            <w:tcW w:w="17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46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68" w:hRule="atLeast"/>
        </w:trPr>
        <w:tc>
          <w:tcPr>
            <w:tcW w:w="17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46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1 00 00000 00 0000 000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1 935,1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2 001,1</w:t>
            </w:r>
          </w:p>
        </w:tc>
      </w:tr>
      <w:tr>
        <w:trPr>
          <w:trHeight w:val="57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1 01 00000 00 0000 000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439,0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466,0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1 01 02000 01 0000 110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>
        <w:trPr>
          <w:trHeight w:val="1842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1 01 02010 01 0000 110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1 06 00000 00 0000 000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1 263,0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1 304,0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1 343,0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1 06 01000 00 0000 110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314,0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1 06 01030 10 0000 110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1 06 06000 00 0000 110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996,0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1 029,0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1 06 06030 00 0000 110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1 06 06033 10 0000 110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1 06 06040 00 0000 110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1 06 06043 10 0000 110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1 08 00000 00 0000 000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1 08 04000 01 0000 110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</w:tr>
      <w:tr>
        <w:trPr>
          <w:trHeight w:val="166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1 08 04020 01 0000 110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174,1</w:t>
            </w:r>
          </w:p>
        </w:tc>
      </w:tr>
      <w:tr>
        <w:trPr>
          <w:trHeight w:val="130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1 11 00000 00 0000 000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111,1</w:t>
            </w:r>
          </w:p>
        </w:tc>
      </w:tr>
      <w:tr>
        <w:trPr>
          <w:trHeight w:val="192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1 11 05000 00 0000 120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>
        <w:trPr>
          <w:trHeight w:val="130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1 11 05070 00 0000 120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>
        <w:trPr>
          <w:trHeight w:val="105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1 11 05075 10 0000 120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1 13 00000 00 0000 000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49,7</w:t>
            </w:r>
          </w:p>
        </w:tc>
      </w:tr>
      <w:tr>
        <w:trPr>
          <w:trHeight w:val="63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1 13 02060 00 0000 130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Доходы, поступающие в порядке возмещения расходов , понесенных в связи с эксплуатацией имущества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</w:tr>
      <w:tr>
        <w:trPr>
          <w:trHeight w:val="90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1 13 02065 10 0000 130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Доходы, поступающие в порядке возмещения расходов , понесенных в связи с эксплуатацией имущества сельских поселений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1 16 00000 00 0000 000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13,3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1 16 02000 02 0000 140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</w:tr>
      <w:tr>
        <w:trPr>
          <w:trHeight w:val="1290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1 16 02020 02 0000 140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2 00 00000 00 0000 000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66 473,3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9 583,8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8 709,0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2 02 00000 00 0000 000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12 164,1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9 489,8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8 615,0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2 02 10000 00 0000 150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11 811,3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9 102,2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8 192,0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2 02 15001 00 0000 150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11 377,7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9 102,2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8 192,0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2 02 15001 10 0000 150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11 377,7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9 102,2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8 192,0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2 02 15002 00 0000 150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2 02 15002 10 0000 150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2 02 30000 00 0000 150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387,6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423,0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2 02 30024 00 0000 150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>
        <w:trPr>
          <w:trHeight w:val="73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2 02 30024 10 0000 150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2 02 35118 00 0000 150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1107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2 02 35118 10 0000 150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368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2 02 40000 00 0000 150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54 309,2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145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2 02 40014 00 0000 150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>
        <w:trPr>
          <w:trHeight w:val="148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2 02 40014 10 0000 150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>
        <w:trPr>
          <w:trHeight w:val="88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2 02 49999 00 0000 150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54 290,0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</w:tr>
      <w:tr>
        <w:trPr>
          <w:trHeight w:val="76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2 02 49999 10 0000 150 </w:t>
            </w:r>
          </w:p>
        </w:tc>
        <w:tc>
          <w:tcPr>
            <w:tcW w:w="46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54 290,0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</w:tr>
      <w:tr>
        <w:trPr>
          <w:trHeight w:val="375" w:hRule="atLeast"/>
        </w:trPr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7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68 352,5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11 518,9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10 710,1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Источники финансирования дефицита</w:t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бюджета поселения на 2024 год и на плановый период 2025 и 2026 годов</w:t>
      </w:r>
    </w:p>
    <w:p>
      <w:pPr>
        <w:pStyle w:val="Normal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тыс.руб</w:t>
      </w:r>
    </w:p>
    <w:tbl>
      <w:tblPr>
        <w:tblpPr w:vertAnchor="text" w:horzAnchor="page" w:leftFromText="180" w:rightFromText="180" w:tblpX="1243" w:tblpY="194"/>
        <w:tblW w:w="1017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16"/>
        <w:gridCol w:w="4355"/>
        <w:gridCol w:w="1134"/>
        <w:gridCol w:w="1133"/>
        <w:gridCol w:w="1135"/>
      </w:tblGrid>
      <w:tr>
        <w:trPr>
          <w:trHeight w:val="1095" w:hRule="atLeast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35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 год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>
        <w:trPr>
          <w:trHeight w:val="79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01 00 00 00 00 0000 000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>
        <w:trPr>
          <w:trHeight w:val="76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01 05 00 00 00 0000 500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68 352,50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10 710,10</w:t>
            </w:r>
          </w:p>
        </w:tc>
      </w:tr>
      <w:tr>
        <w:trPr>
          <w:trHeight w:val="46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01 05 02 00 00 0000 500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540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631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01 05 02 01 10 0000 510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37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01 05 00 00 00 0000 600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49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01 05 02 00 00 0000 600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435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  <w:tr>
        <w:trPr>
          <w:trHeight w:val="750" w:hRule="atLeast"/>
        </w:trPr>
        <w:tc>
          <w:tcPr>
            <w:tcW w:w="2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01 05 02 01 10 0000 610</w:t>
            </w:r>
          </w:p>
        </w:tc>
        <w:tc>
          <w:tcPr>
            <w:tcW w:w="4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68 352,50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11 518,90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10 710,10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40"/>
        <w:gridCol w:w="438"/>
        <w:gridCol w:w="523"/>
        <w:gridCol w:w="1329"/>
        <w:gridCol w:w="545"/>
        <w:gridCol w:w="988"/>
        <w:gridCol w:w="987"/>
        <w:gridCol w:w="985"/>
      </w:tblGrid>
      <w:tr>
        <w:trPr>
          <w:trHeight w:val="398" w:hRule="atLeast"/>
        </w:trPr>
        <w:tc>
          <w:tcPr>
            <w:tcW w:w="9635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подразделам,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</w:t>
            </w:r>
          </w:p>
        </w:tc>
      </w:tr>
      <w:tr>
        <w:trPr>
          <w:trHeight w:val="735" w:hRule="atLeast"/>
        </w:trPr>
        <w:tc>
          <w:tcPr>
            <w:tcW w:w="9635" w:type="dxa"/>
            <w:gridSpan w:val="8"/>
            <w:vMerge w:val="continue"/>
            <w:tcBorders/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75" w:hRule="atLeast"/>
        </w:trPr>
        <w:tc>
          <w:tcPr>
            <w:tcW w:w="384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945" w:hRule="atLeast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>
        <w:trPr>
          <w:trHeight w:val="630" w:hRule="atLeast"/>
        </w:trPr>
        <w:tc>
          <w:tcPr>
            <w:tcW w:w="3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68 352,5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11 518,9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10 710,1</w:t>
            </w:r>
          </w:p>
        </w:tc>
      </w:tr>
      <w:tr>
        <w:trPr>
          <w:trHeight w:val="63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6 254,5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6 018,8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4 649,5</w:t>
            </w:r>
          </w:p>
        </w:tc>
      </w:tr>
      <w:tr>
        <w:trPr>
          <w:trHeight w:val="157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6 189,4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5 687,7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3 736,7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работников муниципальных органов Саркеловского сельского поселения в рамках обеспечения деятельности Администрации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8910000110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5 792,0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5 540,2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3 580,9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муниципальных органов Саркеловского сельского поселения в рамках обеспечения деятельности Администрации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144,6</w:t>
            </w:r>
          </w:p>
        </w:tc>
      </w:tr>
      <w:tr>
        <w:trPr>
          <w:trHeight w:val="157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8910099990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9990072390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>
        <w:trPr>
          <w:trHeight w:val="63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</w:t>
            </w:r>
          </w:p>
        </w:tc>
      </w:tr>
      <w:tr>
        <w:trPr>
          <w:trHeight w:val="220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выборов в представительный орган муниципального образования "Саркеловское сельское поселение"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9990090350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331,1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565,1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Саркеловском сельском поселении»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0210021540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378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0230021610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567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информирование незащищенных слоев населения , безработных о перспективности ведения бизнеса в рамках подпрограммы" Улучшение условий для развития малого и среднего предпринимательства на территории Саркеловского сельского поселения" муниципальной программы Саркеловского сельского поселения "Создание условий для развития малого и среднего предпринимательства, содействие в развитии сельскохозяйственного производства , на территории Саркеловского сельского поселения на 2019-2024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0910022050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315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9990021020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9990022960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9990022970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283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в рамках непрограммных расходов муниципальных органов Саркеловского сельского поселения (Иные межбюджетные трансферты)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9990085010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>
        <w:trPr>
          <w:trHeight w:val="126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Условно утвержденные расходы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9990090110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511,0</w:t>
            </w:r>
          </w:p>
        </w:tc>
      </w:tr>
      <w:tr>
        <w:trPr>
          <w:trHeight w:val="220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расходы обеспечения деятельности Администрации Саркеловского сельского поселения в рамках непрограммных  расходов муниципальных органов Саркеловского сельского поселения (Уплата налогов, сборов и иных платежей)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9990099890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63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9990051180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94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126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 , пожарная безопасность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346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обеспечению пожарной безопасности в рамках подпрограммы «Пожарная безопасность» муниципальной программы Саркеловского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0310021670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63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5 739,9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677,7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748,8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5 082,3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уплату взносов на капитальный ремонт за жилые и нежилые помещения, находящиеся в муниципальной собственности в рамках подпрограммы «Развитие жилищного хозяйства в Саркеловском сельском поселении»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0110023050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441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мероприятия по сносу расселенных аварийных жилых домов, признанных непригодными для проживания в рамках подпрограммы «Оказание мер государственной поддержки в улучшении жилищных условий отдельным категориям граждан» муниципальной программы Саркеловского сельского поселения «Обеспечение доступным и комфортным жильем население Саркеловского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0710023220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5 074,3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>
        <w:trPr>
          <w:trHeight w:val="504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01200S3660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660,1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0120023010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410,1</w:t>
            </w:r>
          </w:p>
        </w:tc>
      </w:tr>
      <w:tr>
        <w:trPr>
          <w:trHeight w:val="346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содержанию мест захоронения в рамках подпрограммы 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0130023030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0130023040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441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в рамках подпрограммы "Благоустройство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населения" (Иные межбюджетные трансферты)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0130085020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>
        <w:trPr>
          <w:trHeight w:val="409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Саркеловского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0810022620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441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и мест массового отдыха населения в рамках подпрограммы"Благоустройство общественных территорий"муниципальной программы Саркеловского сельского поселения "Формирование современной городской среды на территории муниципального образования «Саркеловсое сельское поселение» на 2018-2024 годы»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1010023150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63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346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Саркеловского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0520099990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94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дополнительное образование работников муниципальных органов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55 879,4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55 879,4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283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Саркеловского сельского поселения Цимлянского района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0410000590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2 660,6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220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в рамках подпрограммы "Развитие культуры " муниципальной программы Саркеловского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0410023290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1 288,3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за счет средств областного бюджета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04100S3290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51 930,5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90,1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252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Саркеловского сельского поселения (Публичные нормативные социальные выплаты гражданам)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9990010050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0" w:hRule="atLeast"/>
        </w:trPr>
        <w:tc>
          <w:tcPr>
            <w:tcW w:w="3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Физкультурные и массовые спортивные мероприятия в рамках подпрограммы «Развитие физической культуры и массового спорта Саркеловского сельского поселения» муниципальной программы Саркеловского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0610021950</w:t>
            </w:r>
          </w:p>
        </w:tc>
        <w:tc>
          <w:tcPr>
            <w:tcW w:w="5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39"/>
        <w:gridCol w:w="671"/>
        <w:gridCol w:w="436"/>
        <w:gridCol w:w="516"/>
        <w:gridCol w:w="1312"/>
        <w:gridCol w:w="541"/>
        <w:gridCol w:w="974"/>
        <w:gridCol w:w="973"/>
        <w:gridCol w:w="974"/>
      </w:tblGrid>
      <w:tr>
        <w:trPr>
          <w:trHeight w:val="398" w:hRule="atLeast"/>
        </w:trPr>
        <w:tc>
          <w:tcPr>
            <w:tcW w:w="9636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поселения на 2024 год и на плановый период 2025 и 2026 годов</w:t>
            </w:r>
          </w:p>
        </w:tc>
      </w:tr>
      <w:tr>
        <w:trPr>
          <w:trHeight w:val="300" w:hRule="exact"/>
        </w:trPr>
        <w:tc>
          <w:tcPr>
            <w:tcW w:w="3239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671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6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1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41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7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7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75" w:hRule="atLeast"/>
        </w:trPr>
        <w:tc>
          <w:tcPr>
            <w:tcW w:w="323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>
        <w:trPr>
          <w:trHeight w:val="300" w:hRule="atLeast"/>
        </w:trPr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Мин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>
        <w:trPr>
          <w:trHeight w:val="300" w:hRule="atLeast"/>
        </w:trPr>
        <w:tc>
          <w:tcPr>
            <w:tcW w:w="32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6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9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68 352,5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11 518,9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10 710,1</w:t>
            </w:r>
          </w:p>
        </w:tc>
      </w:tr>
      <w:tr>
        <w:trPr>
          <w:trHeight w:val="94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 САРКЕЛОВСКОГО СЕЛЬСКОГО ПОСЕЛЕНИЯ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68 352,5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11 518,9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10 710,1</w:t>
            </w:r>
          </w:p>
        </w:tc>
      </w:tr>
      <w:tr>
        <w:trPr>
          <w:trHeight w:val="252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работников муниципальных органов Саркеловского сельского поселения в рамках обеспечения деятельности Администрации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5 792,0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5 540,2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3 580,9</w:t>
            </w:r>
          </w:p>
        </w:tc>
      </w:tr>
      <w:tr>
        <w:trPr>
          <w:trHeight w:val="252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муниципальных органов Саркеловского сельского поселения в рамках обеспечения деятельности Администрации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144,6</w:t>
            </w:r>
          </w:p>
        </w:tc>
      </w:tr>
      <w:tr>
        <w:trPr>
          <w:trHeight w:val="157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8910099990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409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9990072390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>
        <w:trPr>
          <w:trHeight w:val="252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выборов в представительный орган муниципального образования "Саркеловское сельское поселение"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9990090350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</w:t>
            </w:r>
          </w:p>
        </w:tc>
      </w:tr>
      <w:tr>
        <w:trPr>
          <w:trHeight w:val="409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Саркеловском сельском поселении»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0210021540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378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0230021610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567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информирование незащищенных слоев населения , безработных о перспективности ведения бизнеса в рамках подпрограммы" Улучшение условий для развития малого и среднего предпринимательства на территории Саркеловского сельского поселения" муниципальной программы Саркеловского сельского поселения "Создание условий для развития малого и среднего предпринимательства, содействие в развитии сельскохозяйственного производства , на территории Саркеловского сельского поселения на 2019-2024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0910022050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315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9990021020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315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283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в рамках непрограммных расходов муниципальных органов Саркеловского сельского поселения (Иные межбюджетные трансферты)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9990085010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>
        <w:trPr>
          <w:trHeight w:val="157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Условно утвержденные расходы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511,0</w:t>
            </w:r>
          </w:p>
        </w:tc>
      </w:tr>
      <w:tr>
        <w:trPr>
          <w:trHeight w:val="220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расходы обеспечения деятельности Администрации Саркеловского сельского поселения в рамках непрограммных  расходов муниципальных органов Саркеловского сельского поселения (Уплата налогов, сборов и иных платежей)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9990099890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252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9990051180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378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обеспечению пожарной безопасности в рамках подпрограммы «Пожарная безопасность» муниципальной программы Саркеловского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0310021670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409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уплату взносов на капитальный ремонт за жилые и нежилые помещения, находящиеся в муниципальной собственности в рамках подпрограммы «Развитие жилищного хозяйства в Саркеловском сельском поселении»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0110023050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468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мероприятия по сносу расселенных аварийных жилых домов, признанных непригодными для проживания в рамках подпрограммы «Оказание мер государственной поддержки в улучшении жилищных условий отдельным категориям граждан» муниципальной программы Саркеловского сельского поселения «Обеспечение доступным и комфортным жильем население Саркеловского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0710023220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5 074,3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504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01200S3660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>
        <w:trPr>
          <w:trHeight w:val="409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0120023010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410,1</w:t>
            </w:r>
          </w:p>
        </w:tc>
      </w:tr>
      <w:tr>
        <w:trPr>
          <w:trHeight w:val="346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содержанию мест захоронения в рамках подпрограммы 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>
        <w:trPr>
          <w:trHeight w:val="409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441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в рамках подпрограммы "Благоустройство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населения" (Иные межбюджетные трансферты)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0130085020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>
        <w:trPr>
          <w:trHeight w:val="441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Саркеловского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0810022620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441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и мест массового отдыха населения в рамках подпрограммы"Благоустройство общественных территорий"муниципальной программы Саркеловского сельского поселения "Формирование современной городской среды на территории муниципального образования «Саркеловсое сельское поселение» на 2018-2024 годы»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1010023150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46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Саркеловского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0520099990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252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дополнительное образование работников муниципальных органов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283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Саркеловского сельского поселения Цимлянского района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0410000590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2 660,6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220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в рамках подпрограммы "Развитие культуры " муниципальной программы Саркеловского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0410023290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1 288,3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83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за счет средств областного бюджета на софинансирование средств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04100S3290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51 930,5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835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Саркеловского сельского поселения (Публичные нормативные социальные выплаты гражданам)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9990010050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3150" w:hRule="atLeast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Физкультурные и массовые спортивные мероприятия в рамках подпрограммы «Развитие физической культуры и массового спорта Саркеловского сельского поселения» муниципальной программы Саркеловского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1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0610021950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2"/>
        <w:gridCol w:w="1329"/>
        <w:gridCol w:w="547"/>
        <w:gridCol w:w="438"/>
        <w:gridCol w:w="523"/>
        <w:gridCol w:w="725"/>
        <w:gridCol w:w="727"/>
        <w:gridCol w:w="724"/>
      </w:tblGrid>
      <w:tr>
        <w:trPr>
          <w:trHeight w:val="1197" w:hRule="atLeast"/>
        </w:trPr>
        <w:tc>
          <w:tcPr>
            <w:tcW w:w="9635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      </w:r>
          </w:p>
        </w:tc>
      </w:tr>
      <w:tr>
        <w:trPr>
          <w:trHeight w:val="390" w:hRule="atLeast"/>
        </w:trPr>
        <w:tc>
          <w:tcPr>
            <w:tcW w:w="462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>
        <w:trPr>
          <w:trHeight w:val="300" w:hRule="atLeast"/>
        </w:trPr>
        <w:tc>
          <w:tcPr>
            <w:tcW w:w="4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68 352,5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11 518,9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10 710,1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"Обеспечение качественными жилищно-коммунальными услугами населения"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567,7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668,8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"Развитие жилищного хозяйства в Саркеловском сельском поселении"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уплату взносов на капитальный ремонт за жилые и нежилые помещения, находящиеся в муниципальной собственности в рамках подпрограммы «Развитие жилищного хозяйства в Саркеловском сельском поселении»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0110023050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обеспечения качественными коммунальными услугами населения Саркеловского сельского поселения»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394,7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488,8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0120023010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410,1</w:t>
            </w:r>
          </w:p>
        </w:tc>
      </w:tr>
      <w:tr>
        <w:trPr>
          <w:trHeight w:val="252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01200S3660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«Благоустройство населенных пунктов Саркеловского сельского поселения»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>
        <w:trPr>
          <w:trHeight w:val="189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содержанию мест захоронения в рамках подпрограммы 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0130023030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0130023040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Саркеловского сельского поселения в рамках подпрограммы "Благоустройство населенных пунктов Саркеловского сельского поселения» муниципальной программы Саркеловского сельского поселения «Обеспечение качественными жилищно-коммунальными услугами населения" (Иные межбюджетные трансферты)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0130085020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«Противодействие коррупции в Саркеловском сельском поселении»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Саркеловском сельском поселении»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0210021540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189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Саркеловского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0230021610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94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189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обеспечению пожарной безопасности в рамках подпрограммы «Пожарная безопасность» муниципальной программы Саркеловского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0310021670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«Развитие культуры и туризма»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55 879,4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55 879,4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Саркеловского сельского поселения Цимлянского района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0410000590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2 660,6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4 750,0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в рамках подпрограммы "Развитие культуры " муниципальной программы Саркеловского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0410023290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1 288,3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муниципальных учреждений культуры за счет средств областного бюджета в рамках подпрограммы «Развитие культуры» муниципальной программы Саркеловского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04100S3290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51 930,5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189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Саркеловского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0520099990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«Развитие физической культуры и спорта»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физической культуры и массового спорта Саркеловского сельского поселения»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Физкультурные и массовые спортивные мероприятия в рамках подпрограммы «Развитие физической культуры и массового спорта Саркеловского сельского поселения» муниципальной программы Саркеловского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0610021950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94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«Обеспечение доступным и комфортным жильем население Саркеловского сельского поселения»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5 074,3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5 074,3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мероприятия по сносу расселенных аварийных жилых домов, признанных непригодными для проживания в рамках подпрограммы «Оказание мер государственной поддержки в улучшении жилищных условий отдельным категориям граждан» муниципальной программы Саркеловского сельского поселения «Обеспечение доступным и комфортным жильем население Саркеловского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0710023220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5 074,3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«Энергоэффективность и развитие энергетики»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Саркеловского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0810022620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"Создание условий для развития малого и среднего предпринимательства, содействие в развитии сельскохозяйственного производства , на территории Саркеловского сельского поселения на 2019-2024 годы"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Подпрограмма" Улучшение условий для развития малого и среднего предпринимательства на территории Саркеловского сельского поселения"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283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информирование незащищенных слоев населения , безработных о перспективности ведения бизнеса в рамках подпрограммы" Улучшение условий для развития малого и среднего предпринимательства на территории Саркеловского сельского поселения" муниципальной программы Саркеловского сельского поселения "Создание условий для развития малого и среднего предпринимательства, содействие в развитии сельскохозяйственного производства , на территории Саркеловского сельского поселения на 2019-2024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0910022050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Саркеловского сельского поселения "Формирование современной городской среды на территории муниципального образования «Саркеловсое сельское поселение» на 2018-2024 годы»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Подпрограмма"Благоустройство общественных территорий"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и мест массового отдыха населения в рамках подпрограммы"Благоустройство общественных территорий"муниципальной программы Саркеловского сельского поселения "Формирование современной городской среды на территории муниципального образования «Саркеловсое сельское поселение» на 2018-2024 годы»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1010023150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Администрации Саркеловского сельского поселения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6 189,2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5 686,5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3 735,5</w:t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Саркеловского сельского поселения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6 189,2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5 686,5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3 735,5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работников муниципальных органов Саркеловского сельского поселения в рамках обеспечения деятельности Администрации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5 792,0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5 540,2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3 580,9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муниципальных органов Саркеловского сельского поселения в рамках обеспечения деятельности Администрации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8910000190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144,6</w:t>
            </w:r>
          </w:p>
        </w:tc>
      </w:tr>
      <w:tr>
        <w:trPr>
          <w:trHeight w:val="94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направления расходов в рамках обеспечения деятельности Администрации Саркеловского сельского поселения (Уплата налогов, сборов и иных платежей)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8910099990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63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муниципальных органов Саркеловского сельского поселения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818,7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1 437,8</w:t>
            </w:r>
          </w:p>
        </w:tc>
      </w:tr>
      <w:tr>
        <w:trPr>
          <w:trHeight w:val="31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818,7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1 437,8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Саркеловского сельского поселения (Публичные нормативные социальные выплаты гражданам)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9990010050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</w:tr>
      <w:tr>
        <w:trPr>
          <w:trHeight w:val="189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9990021020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дополнительное образование работников муниципальных органов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9990022960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страхование, постановку на учет, содержание и обслуживание специализированной коммунальной техники Саркеловского сельского поселения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9990022970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9990051180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422,8</w:t>
            </w:r>
          </w:p>
        </w:tc>
      </w:tr>
      <w:tr>
        <w:trPr>
          <w:trHeight w:val="220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Саркеловского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9990072390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>
        <w:trPr>
          <w:trHeight w:val="157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внутреннему муниципальному финансовому контролю Саркеловского сельского поселения в рамках непрограммных расходов муниципальных органов Саркеловского сельского поселения (Иные межбюджетные трансферты)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9990085010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>
        <w:trPr>
          <w:trHeight w:val="945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Условно утвержденные расходы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9990090110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511,0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выборов в представительный орган муниципального образования "Саркеловское сельское поселение" в рамках непрограммных расходов муниципальных органов Саркеловского сельского поселения (Специальные расходы)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9990090350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</w:t>
            </w:r>
          </w:p>
        </w:tc>
      </w:tr>
      <w:tr>
        <w:trPr>
          <w:trHeight w:val="1260" w:hRule="atLeast"/>
        </w:trPr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расходы обеспечения деятельности Администрации Саркеловского сельского поселения в рамках непрограммных  расходов муниципальных органов Саркеловского сельского поселения (Уплата налогов, сборов и иных платежей)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9990099890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9"/>
        <w:gridCol w:w="1120"/>
        <w:gridCol w:w="1200"/>
        <w:gridCol w:w="521"/>
        <w:gridCol w:w="519"/>
        <w:gridCol w:w="521"/>
        <w:gridCol w:w="1320"/>
        <w:gridCol w:w="830"/>
        <w:gridCol w:w="703"/>
        <w:gridCol w:w="763"/>
        <w:gridCol w:w="521"/>
        <w:gridCol w:w="519"/>
        <w:gridCol w:w="520"/>
      </w:tblGrid>
      <w:tr>
        <w:trPr>
          <w:trHeight w:val="615" w:hRule="atLeast"/>
        </w:trPr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57" w:type="dxa"/>
            <w:gridSpan w:val="1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 предоставляемые бюджету  Саркеловского сельского поселения на 2024 год и на плановый период 2025 и 2026 годов</w:t>
            </w:r>
          </w:p>
        </w:tc>
      </w:tr>
      <w:tr>
        <w:trPr>
          <w:trHeight w:val="390" w:hRule="atLeast"/>
        </w:trPr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0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2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2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2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0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63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>
        <w:trPr>
          <w:trHeight w:val="870" w:hRule="atLeast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субвенций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Классификация доходов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год</w:t>
            </w:r>
          </w:p>
        </w:tc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расходов, осуществляемых за счет субвенций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Классификация расходов</w:t>
            </w:r>
          </w:p>
        </w:tc>
        <w:tc>
          <w:tcPr>
            <w:tcW w:w="5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год</w:t>
            </w:r>
          </w:p>
        </w:tc>
        <w:tc>
          <w:tcPr>
            <w:tcW w:w="5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5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 год</w:t>
            </w:r>
          </w:p>
        </w:tc>
      </w:tr>
      <w:tr>
        <w:trPr>
          <w:trHeight w:val="1305" w:hRule="atLeast"/>
        </w:trPr>
        <w:tc>
          <w:tcPr>
            <w:tcW w:w="5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3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подраздел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5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90" w:hRule="atLeast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>
        <w:trPr>
          <w:trHeight w:val="2475" w:hRule="atLeast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2 02 35118 10 0000 151</w:t>
            </w: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352,6</w:t>
            </w:r>
          </w:p>
        </w:tc>
        <w:tc>
          <w:tcPr>
            <w:tcW w:w="5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387,4</w:t>
            </w: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422,8</w:t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коммисариаты в рамках непрограммных расходов муниципальных органов Саркеловского сельского поселения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02 03 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99 9 00 51180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278,3</w:t>
            </w:r>
          </w:p>
        </w:tc>
      </w:tr>
      <w:tr>
        <w:trPr>
          <w:trHeight w:val="960" w:hRule="atLeast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2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2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02 03 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99 9 00 51180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</w:tr>
      <w:tr>
        <w:trPr>
          <w:trHeight w:val="3240" w:hRule="atLeast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2 02 30024 10 0000 151</w:t>
            </w:r>
          </w:p>
        </w:tc>
        <w:tc>
          <w:tcPr>
            <w:tcW w:w="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полномочий по 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Саркеловского сельского поселения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99 9 00 72390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>
        <w:trPr>
          <w:trHeight w:val="330" w:hRule="atLeast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352,8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387,6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423,0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352,8</w:t>
            </w:r>
          </w:p>
        </w:tc>
        <w:tc>
          <w:tcPr>
            <w:tcW w:w="5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387,6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423,0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1147"/>
        <w:gridCol w:w="1075"/>
        <w:gridCol w:w="744"/>
        <w:gridCol w:w="480"/>
        <w:gridCol w:w="480"/>
        <w:gridCol w:w="1278"/>
        <w:gridCol w:w="790"/>
        <w:gridCol w:w="651"/>
        <w:gridCol w:w="728"/>
        <w:gridCol w:w="744"/>
        <w:gridCol w:w="480"/>
        <w:gridCol w:w="479"/>
      </w:tblGrid>
      <w:tr>
        <w:trPr>
          <w:trHeight w:val="375" w:hRule="atLeast"/>
        </w:trPr>
        <w:tc>
          <w:tcPr>
            <w:tcW w:w="9636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 предоставляемые бюджету Саркеловского сельского поселения</w:t>
            </w:r>
          </w:p>
        </w:tc>
      </w:tr>
      <w:tr>
        <w:trPr>
          <w:trHeight w:val="375" w:hRule="atLeast"/>
        </w:trPr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076" w:type="dxa"/>
            <w:gridSpan w:val="12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 2024 год и на плановый период 2025 и  2026 годов</w:t>
            </w:r>
          </w:p>
        </w:tc>
      </w:tr>
      <w:tr>
        <w:trPr>
          <w:trHeight w:val="360" w:hRule="atLeast"/>
        </w:trPr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076" w:type="dxa"/>
            <w:gridSpan w:val="1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>
        <w:trPr>
          <w:trHeight w:val="480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п/п</w:t>
            </w:r>
          </w:p>
        </w:tc>
        <w:tc>
          <w:tcPr>
            <w:tcW w:w="11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межбюджетного трансферта </w:t>
            </w:r>
          </w:p>
        </w:tc>
        <w:tc>
          <w:tcPr>
            <w:tcW w:w="10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доходов </w:t>
            </w:r>
          </w:p>
        </w:tc>
        <w:tc>
          <w:tcPr>
            <w:tcW w:w="7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4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4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расходов, осуществляемых за счет межбюджетного трансферта</w:t>
            </w:r>
          </w:p>
        </w:tc>
        <w:tc>
          <w:tcPr>
            <w:tcW w:w="21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расходов</w:t>
            </w:r>
          </w:p>
        </w:tc>
        <w:tc>
          <w:tcPr>
            <w:tcW w:w="7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4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>
        <w:trPr>
          <w:trHeight w:val="420" w:hRule="atLeast"/>
        </w:trPr>
        <w:tc>
          <w:tcPr>
            <w:tcW w:w="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6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расходов</w:t>
            </w:r>
          </w:p>
        </w:tc>
        <w:tc>
          <w:tcPr>
            <w:tcW w:w="7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60" w:hRule="atLeast"/>
        </w:trPr>
        <w:tc>
          <w:tcPr>
            <w:tcW w:w="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9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30" w:hRule="atLeast"/>
        </w:trPr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>
        <w:trPr>
          <w:trHeight w:val="255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075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оплате труда работников муниципальных органов Саркеловского сельского поселения в рамках обеспечения деятельности Администрации Саркеловского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01 04 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89 1 00 00110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>
        <w:trPr>
          <w:trHeight w:val="1695" w:hRule="atLeast"/>
        </w:trPr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05 02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00 S3660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4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>
        <w:trPr>
          <w:trHeight w:val="1695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5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54 268,50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капитальный ремонт муниципальных учреждений культуры за счет средств областного бюджета на софинансирование средств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08 01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1 00 S3290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54 268,50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54309,2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54309,2</w:t>
            </w:r>
          </w:p>
        </w:tc>
        <w:tc>
          <w:tcPr>
            <w:tcW w:w="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4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"/>
        <w:gridCol w:w="518"/>
        <w:gridCol w:w="518"/>
        <w:gridCol w:w="872"/>
        <w:gridCol w:w="872"/>
        <w:gridCol w:w="873"/>
        <w:gridCol w:w="873"/>
        <w:gridCol w:w="873"/>
        <w:gridCol w:w="873"/>
        <w:gridCol w:w="874"/>
        <w:gridCol w:w="873"/>
        <w:gridCol w:w="873"/>
        <w:gridCol w:w="220"/>
      </w:tblGrid>
      <w:tr>
        <w:trPr>
          <w:trHeight w:val="315" w:hRule="atLeast"/>
        </w:trPr>
        <w:tc>
          <w:tcPr>
            <w:tcW w:w="9636" w:type="dxa"/>
            <w:gridSpan w:val="13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Распределение межбюджетных трансфертов, предоставляемых другим бюджетам бюджетной системы Российской Федерации  на 2024 год и на плановый период 2025 и 2026 годов</w:t>
            </w:r>
          </w:p>
        </w:tc>
      </w:tr>
      <w:tr>
        <w:trPr>
          <w:trHeight w:val="315" w:hRule="atLeast"/>
        </w:trPr>
        <w:tc>
          <w:tcPr>
            <w:tcW w:w="9636" w:type="dxa"/>
            <w:gridSpan w:val="13"/>
            <w:vMerge w:val="continue"/>
            <w:tcBorders/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5" w:hRule="exact"/>
        </w:trPr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85" w:hRule="atLeast"/>
        </w:trPr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2617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полномочий по организации ритуальных услуг в части создания специализированной службы по вопросам похоронного дела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Цимлянский район</w:t>
            </w:r>
          </w:p>
        </w:tc>
        <w:tc>
          <w:tcPr>
            <w:tcW w:w="8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межбюджетные трансферты</w:t>
            </w:r>
          </w:p>
        </w:tc>
        <w:tc>
          <w:tcPr>
            <w:tcW w:w="8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62,1</w:t>
            </w:r>
          </w:p>
        </w:tc>
        <w:tc>
          <w:tcPr>
            <w:tcW w:w="8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87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exact"/>
        </w:trPr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75" w:hRule="exact"/>
        </w:trPr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2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75" w:hRule="exact"/>
        </w:trPr>
        <w:tc>
          <w:tcPr>
            <w:tcW w:w="9416" w:type="dxa"/>
            <w:gridSpan w:val="12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0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5" w:hRule="exact"/>
        </w:trPr>
        <w:tc>
          <w:tcPr>
            <w:tcW w:w="9636" w:type="dxa"/>
            <w:gridSpan w:val="13"/>
            <w:tcBorders/>
            <w:shd w:color="auto" w:fill="auto" w:val="clear"/>
          </w:tcPr>
          <w:p>
            <w:pPr>
              <w:pStyle w:val="Normal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even" r:id="rId7"/>
      <w:headerReference w:type="default" r:id="rId8"/>
      <w:headerReference w:type="first" r:id="rId9"/>
      <w:type w:val="nextPage"/>
      <w:pgSz w:w="11906" w:h="16838"/>
      <w:pgMar w:left="1418" w:right="851" w:gutter="0" w:header="709" w:top="1134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2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2.05pt;height:13.8pt;mso-wrap-distance-left:0pt;mso-wrap-distance-right:0pt;mso-wrap-distance-top:0pt;mso-wrap-distance-bottom:0pt;margin-top:0.05pt;mso-position-vertical-relative:text;margin-left:469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99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3b42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3f3b42"/>
    <w:pPr>
      <w:keepNext w:val="true"/>
      <w:jc w:val="right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3f3b42"/>
    <w:pPr>
      <w:keepNext w:val="true"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Heading3">
    <w:name w:val="heading 3"/>
    <w:basedOn w:val="Normal"/>
    <w:next w:val="Normal"/>
    <w:qFormat/>
    <w:rsid w:val="003f3b42"/>
    <w:pPr>
      <w:keepNext w:val="true"/>
      <w:jc w:val="center"/>
      <w:outlineLvl w:val="2"/>
    </w:pPr>
    <w:rPr>
      <w:b/>
      <w:bCs/>
      <w:i/>
      <w:sz w:val="28"/>
    </w:rPr>
  </w:style>
  <w:style w:type="paragraph" w:styleId="Heading4">
    <w:name w:val="heading 4"/>
    <w:basedOn w:val="Normal"/>
    <w:next w:val="Normal"/>
    <w:qFormat/>
    <w:rsid w:val="003f3b42"/>
    <w:pPr>
      <w:keepNext w:val="true"/>
      <w:shd w:val="clear" w:color="auto" w:fill="FFFFFF"/>
      <w:tabs>
        <w:tab w:val="clear" w:pos="708"/>
        <w:tab w:val="left" w:pos="4962" w:leader="none"/>
        <w:tab w:val="left" w:pos="8117" w:leader="underscore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Heading5">
    <w:name w:val="heading 5"/>
    <w:basedOn w:val="Normal"/>
    <w:next w:val="Normal"/>
    <w:qFormat/>
    <w:rsid w:val="003f3b42"/>
    <w:pPr>
      <w:keepNext w:val="true"/>
      <w:widowControl/>
      <w:spacing w:lineRule="auto" w:line="360"/>
      <w:jc w:val="both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3f3b42"/>
    <w:pPr>
      <w:widowControl/>
      <w:spacing w:before="240" w:after="60"/>
      <w:jc w:val="both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3f3b42"/>
    <w:pPr>
      <w:keepNext w:val="true"/>
      <w:widowControl/>
      <w:spacing w:lineRule="auto" w:line="264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3f3b42"/>
    <w:pPr>
      <w:widowControl/>
      <w:spacing w:before="240" w:after="60"/>
      <w:jc w:val="both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f3b42"/>
    <w:pPr>
      <w:keepNext w:val="true"/>
      <w:widowControl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sid w:val="003f3b42"/>
    <w:rPr/>
  </w:style>
  <w:style w:type="character" w:styleId="Hyperlink">
    <w:name w:val="Hyperlink"/>
    <w:uiPriority w:val="99"/>
    <w:rsid w:val="009c7f81"/>
    <w:rPr>
      <w:color w:val="0000FF"/>
      <w:u w:val="single"/>
    </w:rPr>
  </w:style>
  <w:style w:type="character" w:styleId="pre" w:customStyle="1">
    <w:name w:val="pre"/>
    <w:qFormat/>
    <w:rsid w:val="00526fb5"/>
    <w:rPr/>
  </w:style>
  <w:style w:type="character" w:styleId="1" w:customStyle="1">
    <w:name w:val="Заголовок 1 Знак"/>
    <w:uiPriority w:val="9"/>
    <w:qFormat/>
    <w:rsid w:val="00e001ed"/>
    <w:rPr>
      <w:sz w:val="28"/>
      <w:szCs w:val="24"/>
    </w:rPr>
  </w:style>
  <w:style w:type="character" w:styleId="Style5" w:customStyle="1">
    <w:name w:val="Верхний колонтитул Знак"/>
    <w:uiPriority w:val="99"/>
    <w:qFormat/>
    <w:rsid w:val="00e001ed"/>
    <w:rPr>
      <w:sz w:val="24"/>
      <w:szCs w:val="24"/>
    </w:rPr>
  </w:style>
  <w:style w:type="character" w:styleId="Style6" w:customStyle="1">
    <w:name w:val="Основной текст_"/>
    <w:link w:val="12"/>
    <w:qFormat/>
    <w:rsid w:val="00e001ed"/>
    <w:rPr>
      <w:spacing w:val="-1"/>
      <w:sz w:val="26"/>
      <w:szCs w:val="26"/>
      <w:shd w:fill="FFFFFF" w:val="clear"/>
    </w:rPr>
  </w:style>
  <w:style w:type="character" w:styleId="3" w:customStyle="1">
    <w:name w:val="Основной текст с отступом 3 Знак"/>
    <w:link w:val="BodyTextIndent3"/>
    <w:uiPriority w:val="99"/>
    <w:qFormat/>
    <w:rsid w:val="00e001ed"/>
    <w:rPr>
      <w:sz w:val="16"/>
      <w:szCs w:val="16"/>
    </w:rPr>
  </w:style>
  <w:style w:type="character" w:styleId="Style7" w:customStyle="1">
    <w:name w:val="Нижний колонтитул Знак"/>
    <w:uiPriority w:val="99"/>
    <w:qFormat/>
    <w:rsid w:val="00e001ed"/>
    <w:rPr>
      <w:sz w:val="24"/>
      <w:szCs w:val="24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3f3b42"/>
    <w:pPr>
      <w:widowControl/>
      <w:jc w:val="both"/>
    </w:pPr>
    <w:rPr>
      <w:sz w:val="28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styleId="ConsNormal" w:customStyle="1">
    <w:name w:val="ConsNormal"/>
    <w:qFormat/>
    <w:rsid w:val="003f3b42"/>
    <w:pPr>
      <w:widowControl w:val="false"/>
      <w:bidi w:val="0"/>
      <w:spacing w:before="0" w:after="0"/>
      <w:ind w:firstLine="720" w:right="19772"/>
      <w:jc w:val="left"/>
    </w:pPr>
    <w:rPr>
      <w:rFonts w:ascii="Arial" w:hAnsi="Arial" w:cs="Arial" w:eastAsia="Times New Roman"/>
      <w:color w:val="auto"/>
      <w:kern w:val="0"/>
      <w:sz w:val="24"/>
      <w:szCs w:val="24"/>
      <w:lang w:val="ru-RU" w:eastAsia="ru-RU" w:bidi="ar-SA"/>
    </w:rPr>
  </w:style>
  <w:style w:type="paragraph" w:styleId="ConsNonformat" w:customStyle="1">
    <w:name w:val="ConsNonformat"/>
    <w:qFormat/>
    <w:rsid w:val="003f3b42"/>
    <w:pPr>
      <w:widowControl w:val="fals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odyTextIndent2">
    <w:name w:val="Body Text Indent 2"/>
    <w:basedOn w:val="Normal"/>
    <w:qFormat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5"/>
    <w:uiPriority w:val="99"/>
    <w:rsid w:val="003f3b42"/>
    <w:pPr>
      <w:widowControl/>
      <w:tabs>
        <w:tab w:val="clear" w:pos="708"/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3f3b42"/>
    <w:pPr>
      <w:widowControl/>
      <w:jc w:val="both"/>
    </w:pPr>
    <w:rPr>
      <w:sz w:val="28"/>
      <w:u w:val="single"/>
    </w:rPr>
  </w:style>
  <w:style w:type="paragraph" w:styleId="BodyText3">
    <w:name w:val="Body Text 3"/>
    <w:basedOn w:val="Normal"/>
    <w:qFormat/>
    <w:rsid w:val="003f3b42"/>
    <w:pPr>
      <w:jc w:val="both"/>
    </w:pPr>
    <w:rPr>
      <w:color w:val="FF0000"/>
      <w:sz w:val="28"/>
      <w:szCs w:val="28"/>
    </w:rPr>
  </w:style>
  <w:style w:type="paragraph" w:styleId="BalloonText">
    <w:name w:val="Balloon Text"/>
    <w:basedOn w:val="Normal"/>
    <w:semiHidden/>
    <w:qFormat/>
    <w:rsid w:val="003612c5"/>
    <w:pPr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9217b3"/>
    <w:pPr>
      <w:widowControl/>
      <w:jc w:val="center"/>
    </w:pPr>
    <w:rPr>
      <w:sz w:val="28"/>
    </w:rPr>
  </w:style>
  <w:style w:type="paragraph" w:styleId="Footer">
    <w:name w:val="footer"/>
    <w:basedOn w:val="Normal"/>
    <w:link w:val="Style7"/>
    <w:uiPriority w:val="99"/>
    <w:rsid w:val="0074761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Знак Знак Знак1 Знак"/>
    <w:basedOn w:val="Normal"/>
    <w:qFormat/>
    <w:rsid w:val="00fc3fb0"/>
    <w:pPr>
      <w:widowControl/>
      <w:spacing w:beforeAutospacing="1" w:afterAutospacing="1"/>
      <w:jc w:val="both"/>
    </w:pPr>
    <w:rPr>
      <w:rFonts w:ascii="Tahoma" w:hAnsi="Tahoma"/>
      <w:lang w:val="en-US" w:eastAsia="en-US"/>
    </w:rPr>
  </w:style>
  <w:style w:type="paragraph" w:styleId="ConsPlusTitle" w:customStyle="1">
    <w:name w:val="ConsPlusTitle"/>
    <w:uiPriority w:val="99"/>
    <w:qFormat/>
    <w:rsid w:val="00561d4c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561d4c"/>
    <w:pPr>
      <w:widowControl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lockText">
    <w:name w:val="Block Text"/>
    <w:basedOn w:val="Normal"/>
    <w:qFormat/>
    <w:rsid w:val="00561d4c"/>
    <w:pPr>
      <w:widowControl/>
      <w:ind w:firstLine="851" w:left="567" w:right="-1333"/>
      <w:jc w:val="both"/>
    </w:pPr>
    <w:rPr>
      <w:sz w:val="28"/>
      <w:szCs w:val="20"/>
    </w:rPr>
  </w:style>
  <w:style w:type="paragraph" w:styleId="Style10" w:customStyle="1">
    <w:name w:val="Знак Знак Знак Знак Знак Знак"/>
    <w:basedOn w:val="Normal"/>
    <w:qFormat/>
    <w:rsid w:val="00526fb5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e001ed"/>
    <w:pPr>
      <w:widowControl/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e001ed"/>
    <w:pPr>
      <w:widowControl/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12" w:customStyle="1">
    <w:name w:val="Основной текст1"/>
    <w:basedOn w:val="Normal"/>
    <w:link w:val="Style6"/>
    <w:qFormat/>
    <w:rsid w:val="00e001ed"/>
    <w:pPr>
      <w:shd w:val="clear" w:color="auto" w:fill="FFFFFF"/>
      <w:spacing w:lineRule="exact" w:line="317"/>
      <w:ind w:firstLine="540"/>
      <w:jc w:val="both"/>
    </w:pPr>
    <w:rPr>
      <w:spacing w:val="-1"/>
      <w:sz w:val="26"/>
      <w:szCs w:val="26"/>
    </w:rPr>
  </w:style>
  <w:style w:type="paragraph" w:styleId="BodyTextIndent3">
    <w:name w:val="Body Text Indent 3"/>
    <w:basedOn w:val="Normal"/>
    <w:link w:val="3"/>
    <w:uiPriority w:val="99"/>
    <w:unhideWhenUsed/>
    <w:qFormat/>
    <w:rsid w:val="00e001ed"/>
    <w:pPr>
      <w:widowControl/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rsid w:val="00074b1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1">
    <w:name w:val="Содержимое врезки"/>
    <w:basedOn w:val="Normal"/>
    <w:qFormat/>
    <w:pPr/>
    <w:rPr/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362e6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AE236B3AC1C228669A35FF29CA5F1AE649CDF40F2E2318F6C2051B444D4B940055BBF7FB2D2D0759E8033c4m7L" TargetMode="External"/><Relationship Id="rId3" Type="http://schemas.openxmlformats.org/officeDocument/2006/relationships/hyperlink" Target="consultantplus://offline/ref=5F2899041A1E022FD608256F7E2705920B71C001482963471634E41CBF24815B8BF9D26833BA6A3AE7D520P0V4M" TargetMode="External"/><Relationship Id="rId4" Type="http://schemas.openxmlformats.org/officeDocument/2006/relationships/hyperlink" Target="consultantplus://offline/ref=1AE236B3AC1C228669A35FF29CA5F1AE649CDF40F2E2318F6C2051B444D4B940055BBF7FB2D2D0759B8239c4m7L" TargetMode="External"/><Relationship Id="rId5" Type="http://schemas.openxmlformats.org/officeDocument/2006/relationships/hyperlink" Target="consultantplus://offline/ref=1AE236B3AC1C228669A35FF29CA5F1AE649CDF40F2E2318F6C2051B444D4B940055BBF7FB2D2D0759B8239c4m7L" TargetMode="External"/><Relationship Id="rId6" Type="http://schemas.openxmlformats.org/officeDocument/2006/relationships/hyperlink" Target="consultantplus://offline/ref=1AE236B3AC1C228669A35FF29CA5F1AE649CDF40F2E2318F6C2051B444D4B940055BBF7FB2D2D0759B8239c4m7L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E29DB-3230-4A4A-9097-554861BF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LibreOffice/24.8.4.2$Windows_X86_64 LibreOffice_project/bb3cfa12c7b1bf994ecc5649a80400d06cd71002</Application>
  <AppVersion>15.0000</AppVersion>
  <Pages>38</Pages>
  <Words>7968</Words>
  <Characters>55926</Characters>
  <CharactersWithSpaces>62820</CharactersWithSpaces>
  <Paragraphs>1840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2023-12-19T07:31:00Z</dcterms:created>
  <dc:creator>unknown</dc:creator>
  <dc:description/>
  <dc:language>ru-RU</dc:language>
  <cp:lastModifiedBy/>
  <cp:lastPrinted>2021-12-24T11:25:00Z</cp:lastPrinted>
  <dcterms:modified xsi:type="dcterms:W3CDTF">2025-01-21T14:12:35Z</dcterms:modified>
  <cp:revision>6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