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media/image1.jpeg" ContentType="image/jpeg"/>
  <Override PartName="/word/header2.xml" ContentType="application/vnd.openxmlformats-officedocument.wordprocessingml.header+xml"/>
  <Override PartName="/word/header1.xml" ContentType="application/vnd.openxmlformats-officedocument.wordprocessingml.header+xml"/>
  <Override PartName="/word/header3.xml" ContentType="application/vnd.openxmlformats-officedocument.wordprocessingml.header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_rels/document.xml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p>
      <w:pPr>
        <w:pStyle w:val="Normal"/>
        <w:ind w:right="-604"/>
        <w:rPr>
          <w:b/>
          <w:sz w:val="28"/>
          <w:szCs w:val="28"/>
        </w:rPr>
      </w:pPr>
      <w:bookmarkStart w:id="0" w:name="_GoBack"/>
      <w:bookmarkEnd w:id="0"/>
      <w:r>
        <w:rPr>
          <w:b/>
          <w:color w:val="000000"/>
          <w:sz w:val="28"/>
          <w:szCs w:val="28"/>
        </w:rPr>
        <w:t xml:space="preserve">                                                              </w:t>
      </w:r>
      <w:r>
        <w:rPr/>
        <w:drawing>
          <wp:inline distT="0" distB="0" distL="0" distR="0">
            <wp:extent cx="688340" cy="784860"/>
            <wp:effectExtent l="0" t="0" r="0" b="0"/>
            <wp:docPr id="1" name="Рисунок 1" descr="Герб цвет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Рисунок 1" descr="Герб цвет"/>
                    <pic:cNvPicPr>
                      <a:picLocks noChangeAspect="1" noChangeArrowheads="1"/>
                    </pic:cNvPicPr>
                  </pic:nvPicPr>
                  <pic:blipFill>
                    <a:blip r:embed="rId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8340" cy="78486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>
      <w:pPr>
        <w:pStyle w:val="Normal"/>
        <w:widowControl/>
        <w:jc w:val="center"/>
        <w:rPr>
          <w:rFonts w:eastAsia="" w:eastAsiaTheme="minorEastAsia"/>
          <w:b/>
          <w:sz w:val="28"/>
          <w:szCs w:val="28"/>
        </w:rPr>
      </w:pPr>
      <w:r>
        <w:rPr>
          <w:rFonts w:eastAsia="" w:eastAsiaTheme="minorEastAsia"/>
          <w:b/>
          <w:sz w:val="28"/>
          <w:szCs w:val="28"/>
        </w:rPr>
        <w:t xml:space="preserve">РОССИЙСКАЯ  ФЕДЕРАЦИЯ </w:t>
      </w:r>
    </w:p>
    <w:p>
      <w:pPr>
        <w:pStyle w:val="Normal"/>
        <w:widowControl/>
        <w:jc w:val="center"/>
        <w:rPr>
          <w:rFonts w:eastAsia="" w:eastAsiaTheme="minorEastAsia"/>
          <w:b/>
          <w:sz w:val="28"/>
          <w:szCs w:val="28"/>
        </w:rPr>
      </w:pPr>
      <w:r>
        <w:rPr>
          <w:rFonts w:eastAsia="" w:eastAsiaTheme="minorEastAsia"/>
          <w:b/>
          <w:sz w:val="28"/>
          <w:szCs w:val="28"/>
        </w:rPr>
        <w:t xml:space="preserve">РОСТОВСКАЯ ОБЛАСТЬ </w:t>
      </w:r>
    </w:p>
    <w:p>
      <w:pPr>
        <w:pStyle w:val="Normal"/>
        <w:widowControl/>
        <w:jc w:val="center"/>
        <w:rPr>
          <w:rFonts w:eastAsia="" w:eastAsiaTheme="minorEastAsia"/>
          <w:b/>
          <w:sz w:val="28"/>
          <w:szCs w:val="28"/>
        </w:rPr>
      </w:pPr>
      <w:r>
        <w:rPr>
          <w:rFonts w:eastAsia="" w:eastAsiaTheme="minorEastAsia"/>
          <w:b/>
          <w:sz w:val="28"/>
          <w:szCs w:val="28"/>
        </w:rPr>
        <w:t xml:space="preserve">ЦИМЛЯНСКИЙ РАЙОН </w:t>
      </w:r>
    </w:p>
    <w:p>
      <w:pPr>
        <w:pStyle w:val="Normal"/>
        <w:widowControl/>
        <w:jc w:val="center"/>
        <w:rPr>
          <w:rFonts w:eastAsia="" w:eastAsiaTheme="minorEastAsia"/>
          <w:b/>
          <w:sz w:val="28"/>
          <w:szCs w:val="28"/>
        </w:rPr>
      </w:pPr>
      <w:r>
        <w:rPr>
          <w:rFonts w:eastAsia="" w:eastAsiaTheme="minorEastAsia"/>
          <w:b/>
          <w:sz w:val="28"/>
          <w:szCs w:val="28"/>
        </w:rPr>
        <w:t xml:space="preserve">АДМИНИСТРАЦИЯ САРКЕЛОВСКОГО </w:t>
      </w:r>
    </w:p>
    <w:p>
      <w:pPr>
        <w:pStyle w:val="Normal"/>
        <w:widowControl/>
        <w:jc w:val="center"/>
        <w:rPr>
          <w:rFonts w:eastAsia="" w:eastAsiaTheme="minorEastAsia"/>
          <w:b/>
          <w:sz w:val="28"/>
          <w:szCs w:val="28"/>
        </w:rPr>
      </w:pPr>
      <w:r>
        <w:rPr>
          <w:rFonts w:eastAsia="" w:eastAsiaTheme="minorEastAsia"/>
          <w:b/>
          <w:sz w:val="28"/>
          <w:szCs w:val="28"/>
        </w:rPr>
        <w:t xml:space="preserve">СЕЛЬСКОГО ПОСЕЛЕНИЯ </w:t>
      </w:r>
    </w:p>
    <w:p>
      <w:pPr>
        <w:pStyle w:val="Normal"/>
        <w:ind w:right="-604"/>
        <w:jc w:val="center"/>
        <w:rPr/>
      </w:pPr>
      <w:r>
        <w:rPr>
          <w:rFonts w:eastAsia="" w:eastAsiaTheme="minorEastAsia"/>
          <w:b/>
          <w:color w:val="000000"/>
          <w:sz w:val="28"/>
          <w:szCs w:val="28"/>
        </w:rPr>
        <w:t>ПОСТАНОВЛЕНИЕ</w:t>
      </w:r>
    </w:p>
    <w:p>
      <w:pPr>
        <w:pStyle w:val="Normal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</w:r>
    </w:p>
    <w:p>
      <w:pPr>
        <w:pStyle w:val="Normal"/>
        <w:spacing w:lineRule="atLeast" w:line="231"/>
        <w:jc w:val="right"/>
        <w:rPr>
          <w:color w:val="1E1E1E"/>
          <w:sz w:val="28"/>
          <w:szCs w:val="28"/>
        </w:rPr>
      </w:pPr>
      <w:r>
        <w:rPr>
          <w:color w:val="1E1E1E"/>
          <w:sz w:val="28"/>
          <w:szCs w:val="28"/>
        </w:rPr>
        <w:t>07</w:t>
      </w:r>
      <w:r>
        <w:rPr>
          <w:color w:val="1E1E1E"/>
          <w:sz w:val="28"/>
          <w:szCs w:val="28"/>
        </w:rPr>
        <w:t>.</w:t>
      </w:r>
      <w:r>
        <w:rPr>
          <w:color w:val="1E1E1E"/>
          <w:sz w:val="28"/>
          <w:szCs w:val="28"/>
        </w:rPr>
        <w:t>10</w:t>
      </w:r>
      <w:r>
        <w:rPr>
          <w:color w:val="1E1E1E"/>
          <w:sz w:val="28"/>
          <w:szCs w:val="28"/>
        </w:rPr>
        <w:t xml:space="preserve">.2024г.                                           № </w:t>
      </w:r>
      <w:r>
        <w:rPr>
          <w:color w:val="1E1E1E"/>
          <w:sz w:val="28"/>
          <w:szCs w:val="28"/>
        </w:rPr>
        <w:t>91</w:t>
      </w:r>
      <w:r>
        <w:rPr>
          <w:color w:val="1E1E1E"/>
          <w:sz w:val="28"/>
          <w:szCs w:val="28"/>
        </w:rPr>
        <w:t>/1                                          пос. Саркел</w:t>
      </w:r>
    </w:p>
    <w:p>
      <w:pPr>
        <w:pStyle w:val="Normal"/>
        <w:spacing w:lineRule="atLeast" w:line="231"/>
        <w:jc w:val="right"/>
        <w:rPr>
          <w:color w:val="1E1E1E"/>
          <w:sz w:val="28"/>
          <w:szCs w:val="28"/>
        </w:rPr>
      </w:pPr>
      <w:r>
        <w:rPr>
          <w:color w:val="1E1E1E"/>
          <w:sz w:val="28"/>
          <w:szCs w:val="28"/>
        </w:rPr>
      </w:r>
    </w:p>
    <w:p>
      <w:pPr>
        <w:pStyle w:val="Normal"/>
        <w:spacing w:lineRule="atLeast" w:line="231"/>
        <w:rPr>
          <w:color w:val="1E1E1E"/>
          <w:sz w:val="28"/>
          <w:szCs w:val="28"/>
        </w:rPr>
      </w:pPr>
      <w:r>
        <w:rPr>
          <w:sz w:val="28"/>
          <w:szCs w:val="28"/>
        </w:rPr>
        <w:t xml:space="preserve">Об отчете об исполнении </w:t>
      </w:r>
    </w:p>
    <w:p>
      <w:pPr>
        <w:pStyle w:val="1"/>
        <w:tabs>
          <w:tab w:val="clear" w:pos="708"/>
          <w:tab w:val="left" w:pos="469" w:leader="none"/>
          <w:tab w:val="center" w:pos="4816" w:leader="none"/>
        </w:tabs>
        <w:spacing w:lineRule="auto" w:line="240"/>
        <w:ind w:hanging="0" w:left="0"/>
        <w:jc w:val="left"/>
        <w:rPr>
          <w:sz w:val="28"/>
          <w:szCs w:val="28"/>
        </w:rPr>
      </w:pPr>
      <w:r>
        <w:rPr>
          <w:sz w:val="28"/>
          <w:szCs w:val="28"/>
        </w:rPr>
        <w:t>бюджета Саркеловского</w:t>
      </w:r>
    </w:p>
    <w:p>
      <w:pPr>
        <w:pStyle w:val="1"/>
        <w:tabs>
          <w:tab w:val="clear" w:pos="708"/>
          <w:tab w:val="left" w:pos="469" w:leader="none"/>
          <w:tab w:val="center" w:pos="4816" w:leader="none"/>
        </w:tabs>
        <w:spacing w:lineRule="auto" w:line="240"/>
        <w:ind w:hanging="0" w:left="0"/>
        <w:jc w:val="left"/>
        <w:rPr>
          <w:sz w:val="28"/>
          <w:szCs w:val="28"/>
        </w:rPr>
      </w:pPr>
      <w:r>
        <w:rPr>
          <w:sz w:val="28"/>
          <w:szCs w:val="28"/>
        </w:rPr>
        <w:t>сельского поселения</w:t>
      </w:r>
    </w:p>
    <w:p>
      <w:pPr>
        <w:pStyle w:val="1"/>
        <w:tabs>
          <w:tab w:val="clear" w:pos="708"/>
          <w:tab w:val="left" w:pos="469" w:leader="none"/>
          <w:tab w:val="center" w:pos="4816" w:leader="none"/>
        </w:tabs>
        <w:spacing w:lineRule="auto" w:line="240"/>
        <w:ind w:hanging="0" w:left="0"/>
        <w:jc w:val="left"/>
        <w:rPr>
          <w:sz w:val="28"/>
          <w:szCs w:val="28"/>
        </w:rPr>
      </w:pPr>
      <w:r>
        <w:rPr>
          <w:sz w:val="28"/>
          <w:szCs w:val="28"/>
        </w:rPr>
        <w:t xml:space="preserve">за </w:t>
      </w:r>
      <w:r>
        <w:rPr>
          <w:sz w:val="28"/>
          <w:szCs w:val="28"/>
        </w:rPr>
        <w:t>9 месяцев</w:t>
      </w:r>
      <w:r>
        <w:rPr>
          <w:sz w:val="28"/>
          <w:szCs w:val="28"/>
        </w:rPr>
        <w:t xml:space="preserve"> 2024 года</w:t>
      </w:r>
    </w:p>
    <w:p>
      <w:pPr>
        <w:pStyle w:val="1"/>
        <w:tabs>
          <w:tab w:val="clear" w:pos="708"/>
          <w:tab w:val="left" w:pos="469" w:leader="none"/>
          <w:tab w:val="center" w:pos="4816" w:leader="none"/>
        </w:tabs>
        <w:spacing w:lineRule="auto" w:line="240"/>
        <w:ind w:hanging="0" w:left="0"/>
        <w:jc w:val="left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ConsPlusTitle"/>
        <w:widowControl/>
        <w:spacing w:lineRule="auto" w:line="228"/>
        <w:ind w:firstLine="748"/>
        <w:jc w:val="both"/>
        <w:rPr>
          <w:rFonts w:ascii="Times New Roman" w:hAnsi="Times New Roman" w:cs="Times New Roman"/>
          <w:b w:val="false"/>
          <w:sz w:val="28"/>
          <w:szCs w:val="28"/>
        </w:rPr>
      </w:pPr>
      <w:r>
        <w:rPr>
          <w:rFonts w:cs="Times New Roman" w:ascii="Times New Roman" w:hAnsi="Times New Roman"/>
          <w:b w:val="false"/>
          <w:sz w:val="28"/>
          <w:szCs w:val="28"/>
        </w:rPr>
        <w:t>В соответствии со статьей 264.2 Бюджетного кодекса Российской Федерации, пунктом 5.2 Положения о бюджетном процессе в Саркеловском сельском поселении, утвержденном решением Собрания депутатов Савркеловского сельского поселения  от 29.08.2014г. № 59,</w:t>
      </w:r>
      <w:r>
        <w:rPr>
          <w:rFonts w:ascii="Times New Roman" w:hAnsi="Times New Roman"/>
          <w:b w:val="false"/>
          <w:sz w:val="28"/>
          <w:szCs w:val="28"/>
        </w:rPr>
        <w:t xml:space="preserve"> Администрация Саркеловского сельского поселения,</w:t>
      </w:r>
    </w:p>
    <w:p>
      <w:pPr>
        <w:pStyle w:val="ConsPlusNormal"/>
        <w:widowControl/>
        <w:spacing w:lineRule="auto" w:line="228"/>
        <w:jc w:val="both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Normal"/>
        <w:ind w:firstLine="720"/>
        <w:jc w:val="center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ПОСТАНОВЛЯЕТ:</w:t>
      </w:r>
    </w:p>
    <w:p>
      <w:pPr>
        <w:pStyle w:val="ConsPlusNormal"/>
        <w:widowControl/>
        <w:numPr>
          <w:ilvl w:val="0"/>
          <w:numId w:val="1"/>
        </w:numPr>
        <w:spacing w:lineRule="auto" w:line="228"/>
        <w:jc w:val="both"/>
        <w:rPr>
          <w:szCs w:val="28"/>
        </w:rPr>
      </w:pPr>
      <w:r>
        <w:rPr>
          <w:szCs w:val="28"/>
        </w:rPr>
        <w:t xml:space="preserve">Утвердить отчет об исполнении бюджета Саркеловского сельского поселения (далее по тексту – бюджета поселения)  </w:t>
      </w:r>
      <w:r>
        <w:rPr>
          <w:sz w:val="28"/>
          <w:szCs w:val="28"/>
        </w:rPr>
        <w:t xml:space="preserve">за </w:t>
      </w:r>
      <w:r>
        <w:rPr>
          <w:sz w:val="28"/>
          <w:szCs w:val="28"/>
        </w:rPr>
        <w:t>9 месяцев</w:t>
      </w:r>
      <w:r>
        <w:rPr>
          <w:sz w:val="28"/>
          <w:szCs w:val="28"/>
        </w:rPr>
        <w:t xml:space="preserve"> 2024 года</w:t>
      </w:r>
      <w:r>
        <w:rPr>
          <w:szCs w:val="28"/>
        </w:rPr>
        <w:t xml:space="preserve"> по доходам в сумме </w:t>
      </w:r>
      <w:r>
        <w:rPr>
          <w:szCs w:val="28"/>
        </w:rPr>
        <w:t>44 713,0</w:t>
      </w:r>
      <w:r>
        <w:rPr>
          <w:szCs w:val="28"/>
        </w:rPr>
        <w:t xml:space="preserve"> тыс. рублей, по расходам </w:t>
      </w:r>
      <w:r>
        <w:rPr>
          <w:szCs w:val="28"/>
        </w:rPr>
        <w:t>42 204,6</w:t>
      </w:r>
      <w:r>
        <w:rPr>
          <w:szCs w:val="28"/>
        </w:rPr>
        <w:t xml:space="preserve"> тыс. рублей с превышением доходов над расходами (профицит бюджета поселения) в сумме </w:t>
      </w:r>
      <w:r>
        <w:rPr>
          <w:szCs w:val="28"/>
        </w:rPr>
        <w:t>2 508,4</w:t>
      </w:r>
      <w:r>
        <w:rPr>
          <w:szCs w:val="28"/>
        </w:rPr>
        <w:t xml:space="preserve"> тыс. рублей).</w:t>
      </w:r>
    </w:p>
    <w:p>
      <w:pPr>
        <w:pStyle w:val="ConsPlusNormal"/>
        <w:widowControl/>
        <w:spacing w:lineRule="auto" w:line="228"/>
        <w:ind w:firstLine="748"/>
        <w:rPr>
          <w:szCs w:val="28"/>
        </w:rPr>
      </w:pPr>
      <w:r>
        <w:rPr>
          <w:szCs w:val="28"/>
        </w:rPr>
        <w:t>Определить, что держателем оригинала отчета об исполнении бюджета</w:t>
      </w:r>
    </w:p>
    <w:p>
      <w:pPr>
        <w:pStyle w:val="ConsPlusNormal"/>
        <w:widowControl/>
        <w:spacing w:lineRule="auto" w:line="228"/>
        <w:ind w:firstLine="28" w:left="720"/>
        <w:jc w:val="both"/>
        <w:rPr>
          <w:szCs w:val="28"/>
        </w:rPr>
      </w:pPr>
      <w:r>
        <w:rPr>
          <w:szCs w:val="28"/>
        </w:rPr>
        <w:t xml:space="preserve">поселения </w:t>
      </w:r>
      <w:r>
        <w:rPr>
          <w:sz w:val="28"/>
          <w:szCs w:val="28"/>
        </w:rPr>
        <w:t xml:space="preserve">за </w:t>
      </w:r>
      <w:r>
        <w:rPr>
          <w:sz w:val="28"/>
          <w:szCs w:val="28"/>
        </w:rPr>
        <w:t>9 месяцев</w:t>
      </w:r>
      <w:r>
        <w:rPr>
          <w:sz w:val="28"/>
          <w:szCs w:val="28"/>
        </w:rPr>
        <w:t xml:space="preserve"> 2024 года </w:t>
      </w:r>
      <w:r>
        <w:rPr>
          <w:szCs w:val="28"/>
        </w:rPr>
        <w:t>является сектор экономики и финансов Администрации Саркеловского сельского поселения.</w:t>
      </w:r>
    </w:p>
    <w:p>
      <w:pPr>
        <w:pStyle w:val="ConsPlusNormal"/>
        <w:widowControl/>
        <w:numPr>
          <w:ilvl w:val="0"/>
          <w:numId w:val="1"/>
        </w:numPr>
        <w:spacing w:lineRule="auto" w:line="228"/>
        <w:jc w:val="both"/>
        <w:rPr>
          <w:szCs w:val="28"/>
        </w:rPr>
      </w:pPr>
      <w:r>
        <w:rPr>
          <w:szCs w:val="28"/>
        </w:rPr>
        <w:t xml:space="preserve">В целях информирования населения поселения опубликовать сведения о ходе исполнения бюджета поселения </w:t>
      </w:r>
      <w:r>
        <w:rPr>
          <w:sz w:val="28"/>
          <w:szCs w:val="28"/>
        </w:rPr>
        <w:t xml:space="preserve">за </w:t>
      </w:r>
      <w:r>
        <w:rPr>
          <w:sz w:val="28"/>
          <w:szCs w:val="28"/>
        </w:rPr>
        <w:t>9 месяцев</w:t>
      </w:r>
      <w:r>
        <w:rPr>
          <w:sz w:val="28"/>
          <w:szCs w:val="28"/>
        </w:rPr>
        <w:t xml:space="preserve"> 2024 года</w:t>
      </w:r>
      <w:r>
        <w:rPr>
          <w:szCs w:val="28"/>
        </w:rPr>
        <w:t xml:space="preserve">, согласно приложению к настоящему постановлению. </w:t>
      </w:r>
    </w:p>
    <w:p>
      <w:pPr>
        <w:pStyle w:val="ConsPlusNormal"/>
        <w:widowControl/>
        <w:numPr>
          <w:ilvl w:val="0"/>
          <w:numId w:val="1"/>
        </w:numPr>
        <w:spacing w:lineRule="auto" w:line="228"/>
        <w:jc w:val="both"/>
        <w:rPr>
          <w:szCs w:val="28"/>
        </w:rPr>
      </w:pPr>
      <w:r>
        <w:rPr>
          <w:szCs w:val="28"/>
        </w:rPr>
        <w:t xml:space="preserve">Направить настоящее постановление и отчет об исполнении бюджета поселения </w:t>
      </w:r>
      <w:r>
        <w:rPr>
          <w:sz w:val="28"/>
          <w:szCs w:val="28"/>
        </w:rPr>
        <w:t xml:space="preserve">за </w:t>
      </w:r>
      <w:r>
        <w:rPr>
          <w:sz w:val="28"/>
          <w:szCs w:val="28"/>
        </w:rPr>
        <w:t>9 месяцев</w:t>
      </w:r>
      <w:r>
        <w:rPr>
          <w:sz w:val="28"/>
          <w:szCs w:val="28"/>
        </w:rPr>
        <w:t xml:space="preserve"> 2024 года </w:t>
      </w:r>
      <w:r>
        <w:rPr>
          <w:szCs w:val="28"/>
        </w:rPr>
        <w:t>в Собрание депутатов Саркеловского сельского поселения.</w:t>
      </w:r>
    </w:p>
    <w:p>
      <w:pPr>
        <w:pStyle w:val="ConsPlusNormal"/>
        <w:widowControl/>
        <w:numPr>
          <w:ilvl w:val="0"/>
          <w:numId w:val="1"/>
        </w:numPr>
        <w:spacing w:lineRule="auto" w:line="228"/>
        <w:rPr>
          <w:szCs w:val="28"/>
        </w:rPr>
      </w:pPr>
      <w:r>
        <w:rPr>
          <w:szCs w:val="28"/>
        </w:rPr>
        <w:t>Постановление вступает в силу с момента его подписания.</w:t>
      </w:r>
    </w:p>
    <w:p>
      <w:pPr>
        <w:pStyle w:val="ConsPlusNormal"/>
        <w:widowControl/>
        <w:numPr>
          <w:ilvl w:val="0"/>
          <w:numId w:val="1"/>
        </w:numPr>
        <w:spacing w:lineRule="auto" w:line="228"/>
        <w:jc w:val="both"/>
        <w:rPr>
          <w:szCs w:val="28"/>
        </w:rPr>
      </w:pPr>
      <w:r>
        <w:rPr>
          <w:szCs w:val="28"/>
        </w:rPr>
        <w:t>Контроль за выполнением постановления возложить на заведующего сектором экономики и финансов М.А.Маврат</w:t>
      </w:r>
    </w:p>
    <w:p>
      <w:pPr>
        <w:pStyle w:val="ConsPlusNormal"/>
        <w:widowControl/>
        <w:spacing w:lineRule="auto" w:line="228"/>
        <w:jc w:val="both"/>
        <w:rPr>
          <w:szCs w:val="28"/>
        </w:rPr>
      </w:pPr>
      <w:r>
        <w:rPr>
          <w:szCs w:val="28"/>
        </w:rPr>
      </w:r>
    </w:p>
    <w:p>
      <w:pPr>
        <w:pStyle w:val="Normal"/>
        <w:suppressAutoHyphens w:val="true"/>
        <w:rPr>
          <w:sz w:val="28"/>
          <w:szCs w:val="28"/>
        </w:rPr>
      </w:pPr>
      <w:r>
        <w:rPr>
          <w:sz w:val="28"/>
          <w:szCs w:val="28"/>
        </w:rPr>
        <w:t>Глава Администрации</w:t>
      </w:r>
    </w:p>
    <w:p>
      <w:pPr>
        <w:pStyle w:val="Normal"/>
        <w:suppressAutoHyphens w:val="true"/>
        <w:rPr>
          <w:sz w:val="28"/>
          <w:szCs w:val="28"/>
        </w:rPr>
      </w:pPr>
      <w:r>
        <w:rPr>
          <w:sz w:val="28"/>
          <w:szCs w:val="28"/>
        </w:rPr>
        <w:t>Саркеловского сельского поселения                                                     Г.А.Бурняшев</w:t>
      </w:r>
    </w:p>
    <w:p>
      <w:pPr>
        <w:pStyle w:val="Normal"/>
        <w:suppressAutoHyphens w:val="true"/>
        <w:rPr/>
      </w:pPr>
      <w:r>
        <w:rPr/>
      </w:r>
      <w:r>
        <w:br w:type="page"/>
      </w:r>
    </w:p>
    <w:p>
      <w:pPr>
        <w:pStyle w:val="Heading5"/>
        <w:spacing w:before="0" w:after="0"/>
        <w:ind w:hanging="1260" w:left="5760"/>
        <w:jc w:val="right"/>
        <w:rPr>
          <w:b w:val="false"/>
          <w:i w:val="false"/>
          <w:i w:val="false"/>
          <w:sz w:val="28"/>
          <w:szCs w:val="28"/>
        </w:rPr>
      </w:pPr>
      <w:r>
        <w:rPr>
          <w:b w:val="false"/>
          <w:i w:val="false"/>
          <w:sz w:val="28"/>
          <w:szCs w:val="28"/>
        </w:rPr>
        <w:t xml:space="preserve">  </w:t>
      </w:r>
      <w:r>
        <w:rPr>
          <w:b w:val="false"/>
          <w:i w:val="false"/>
          <w:sz w:val="28"/>
          <w:szCs w:val="28"/>
        </w:rPr>
        <w:t>Приложение к постановлению</w:t>
      </w:r>
    </w:p>
    <w:p>
      <w:pPr>
        <w:pStyle w:val="Normal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</w:t>
      </w:r>
      <w:r>
        <w:rPr>
          <w:sz w:val="28"/>
          <w:szCs w:val="28"/>
        </w:rPr>
        <w:t xml:space="preserve">Администрации Саркеловского </w:t>
      </w:r>
    </w:p>
    <w:p>
      <w:pPr>
        <w:pStyle w:val="Normal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                         </w:t>
      </w:r>
      <w:r>
        <w:rPr>
          <w:sz w:val="28"/>
          <w:szCs w:val="28"/>
        </w:rPr>
        <w:t>сельского поселения</w:t>
      </w:r>
    </w:p>
    <w:p>
      <w:pPr>
        <w:pStyle w:val="Normal"/>
        <w:ind w:left="6237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от </w:t>
      </w:r>
      <w:r>
        <w:rPr>
          <w:sz w:val="28"/>
          <w:szCs w:val="28"/>
        </w:rPr>
        <w:t>07</w:t>
      </w:r>
      <w:r>
        <w:rPr>
          <w:sz w:val="28"/>
          <w:szCs w:val="28"/>
        </w:rPr>
        <w:t>.</w:t>
      </w:r>
      <w:r>
        <w:rPr>
          <w:sz w:val="28"/>
          <w:szCs w:val="28"/>
        </w:rPr>
        <w:t>10</w:t>
      </w:r>
      <w:r>
        <w:rPr>
          <w:sz w:val="28"/>
          <w:szCs w:val="28"/>
        </w:rPr>
        <w:t>.2024. №</w:t>
      </w:r>
      <w:r>
        <w:rPr>
          <w:sz w:val="28"/>
          <w:szCs w:val="28"/>
        </w:rPr>
        <w:t>91</w:t>
      </w:r>
      <w:r>
        <w:rPr>
          <w:sz w:val="28"/>
          <w:szCs w:val="28"/>
        </w:rPr>
        <w:t>/1</w:t>
      </w:r>
    </w:p>
    <w:p>
      <w:pPr>
        <w:pStyle w:val="Normal"/>
        <w:jc w:val="center"/>
        <w:rPr>
          <w:sz w:val="28"/>
          <w:szCs w:val="28"/>
        </w:rPr>
      </w:pPr>
      <w:r>
        <w:rPr>
          <w:sz w:val="28"/>
          <w:szCs w:val="28"/>
        </w:rPr>
        <w:t>СВЕДЕНИЯ</w:t>
      </w:r>
    </w:p>
    <w:p>
      <w:pPr>
        <w:pStyle w:val="Normal"/>
        <w:jc w:val="center"/>
        <w:rPr>
          <w:sz w:val="28"/>
          <w:szCs w:val="28"/>
        </w:rPr>
      </w:pPr>
      <w:r>
        <w:rPr>
          <w:sz w:val="28"/>
          <w:szCs w:val="28"/>
        </w:rPr>
        <w:t>о ходе исполнения бюджета поселения</w:t>
      </w:r>
    </w:p>
    <w:p>
      <w:pPr>
        <w:pStyle w:val="Normal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за </w:t>
      </w:r>
      <w:r>
        <w:rPr>
          <w:sz w:val="28"/>
          <w:szCs w:val="28"/>
        </w:rPr>
        <w:t>9 месяцев</w:t>
      </w:r>
      <w:r>
        <w:rPr>
          <w:sz w:val="28"/>
          <w:szCs w:val="28"/>
        </w:rPr>
        <w:t xml:space="preserve"> 2024 года.</w:t>
      </w:r>
    </w:p>
    <w:p>
      <w:pPr>
        <w:pStyle w:val="Normal"/>
        <w:ind w:firstLine="374"/>
        <w:jc w:val="both"/>
        <w:rPr>
          <w:sz w:val="28"/>
          <w:szCs w:val="28"/>
        </w:rPr>
      </w:pPr>
      <w:r>
        <w:rPr>
          <w:sz w:val="28"/>
          <w:szCs w:val="28"/>
        </w:rPr>
        <w:tab/>
        <w:t xml:space="preserve">Исполнение бюджета поселения за </w:t>
      </w:r>
      <w:r>
        <w:rPr>
          <w:sz w:val="28"/>
          <w:szCs w:val="28"/>
        </w:rPr>
        <w:t>9 месяцев</w:t>
      </w:r>
      <w:r>
        <w:rPr>
          <w:sz w:val="28"/>
          <w:szCs w:val="28"/>
        </w:rPr>
        <w:t xml:space="preserve"> 2024 года составило по доходам в сумме </w:t>
      </w:r>
      <w:r>
        <w:rPr>
          <w:sz w:val="28"/>
          <w:szCs w:val="28"/>
        </w:rPr>
        <w:t>44 713,0</w:t>
      </w:r>
      <w:r>
        <w:rPr>
          <w:sz w:val="28"/>
          <w:szCs w:val="28"/>
        </w:rPr>
        <w:t xml:space="preserve"> тыс. рублей или  </w:t>
      </w:r>
      <w:r>
        <w:rPr>
          <w:sz w:val="28"/>
          <w:szCs w:val="28"/>
        </w:rPr>
        <w:t xml:space="preserve">65,2 </w:t>
      </w:r>
      <w:r>
        <w:rPr>
          <w:sz w:val="28"/>
          <w:szCs w:val="28"/>
        </w:rPr>
        <w:t xml:space="preserve">процентов к годовому плану, по расходам в сумме </w:t>
      </w:r>
      <w:r>
        <w:rPr>
          <w:sz w:val="28"/>
          <w:szCs w:val="28"/>
        </w:rPr>
        <w:t>42 204,6</w:t>
      </w:r>
      <w:r>
        <w:rPr>
          <w:sz w:val="28"/>
          <w:szCs w:val="28"/>
        </w:rPr>
        <w:t xml:space="preserve"> тыс. рублей или </w:t>
      </w:r>
      <w:r>
        <w:rPr>
          <w:sz w:val="28"/>
          <w:szCs w:val="28"/>
        </w:rPr>
        <w:t>61</w:t>
      </w:r>
      <w:r>
        <w:rPr>
          <w:sz w:val="28"/>
          <w:szCs w:val="28"/>
        </w:rPr>
        <w:t>,</w:t>
      </w:r>
      <w:r>
        <w:rPr>
          <w:sz w:val="28"/>
          <w:szCs w:val="28"/>
        </w:rPr>
        <w:t>4</w:t>
      </w:r>
      <w:r>
        <w:rPr>
          <w:sz w:val="28"/>
          <w:szCs w:val="28"/>
        </w:rPr>
        <w:t xml:space="preserve"> процентов к годовому плану. Профицит по итогам за </w:t>
      </w:r>
      <w:r>
        <w:rPr>
          <w:sz w:val="28"/>
          <w:szCs w:val="28"/>
        </w:rPr>
        <w:t>9 месяцев</w:t>
      </w:r>
      <w:r>
        <w:rPr>
          <w:sz w:val="28"/>
          <w:szCs w:val="28"/>
        </w:rPr>
        <w:t xml:space="preserve"> 2024 года составил </w:t>
      </w:r>
      <w:r>
        <w:rPr>
          <w:sz w:val="28"/>
          <w:szCs w:val="28"/>
        </w:rPr>
        <w:t xml:space="preserve">2 508,4 </w:t>
      </w:r>
      <w:r>
        <w:rPr>
          <w:sz w:val="28"/>
          <w:szCs w:val="28"/>
        </w:rPr>
        <w:t xml:space="preserve">тыс. рублей. </w:t>
      </w:r>
    </w:p>
    <w:p>
      <w:pPr>
        <w:pStyle w:val="Normal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</w:t>
      </w:r>
      <w:r>
        <w:rPr>
          <w:sz w:val="28"/>
          <w:szCs w:val="28"/>
        </w:rPr>
        <w:tab/>
        <w:t xml:space="preserve">Информация об исполнении бюджета поселения за </w:t>
      </w:r>
      <w:r>
        <w:rPr>
          <w:sz w:val="28"/>
          <w:szCs w:val="28"/>
        </w:rPr>
        <w:t>9 месяцев</w:t>
      </w:r>
      <w:r>
        <w:rPr>
          <w:sz w:val="28"/>
          <w:szCs w:val="28"/>
        </w:rPr>
        <w:t xml:space="preserve"> 2024 года прилагается (Приложение №1).</w:t>
      </w:r>
    </w:p>
    <w:p>
      <w:pPr>
        <w:pStyle w:val="Normal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</w:t>
      </w:r>
      <w:r>
        <w:rPr>
          <w:sz w:val="28"/>
          <w:szCs w:val="28"/>
        </w:rPr>
        <w:tab/>
        <w:t xml:space="preserve"> Сведения о численности и денежном содержании муниципальных служащих Саркеловского сельского поселения и работников муниципальных учреждений Саркеловского сельского поселения Цимлянского района за </w:t>
      </w:r>
      <w:r>
        <w:rPr>
          <w:sz w:val="28"/>
          <w:szCs w:val="28"/>
        </w:rPr>
        <w:t>9 месяцев</w:t>
      </w:r>
      <w:r>
        <w:rPr>
          <w:sz w:val="28"/>
          <w:szCs w:val="28"/>
        </w:rPr>
        <w:t xml:space="preserve"> 2024 года прилагаются (Приложение № 2)</w:t>
      </w:r>
    </w:p>
    <w:p>
      <w:pPr>
        <w:pStyle w:val="Normal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</w:t>
      </w:r>
      <w:r>
        <w:rPr>
          <w:sz w:val="28"/>
          <w:szCs w:val="28"/>
        </w:rPr>
        <w:tab/>
        <w:t xml:space="preserve">Налоговые и неналоговые доходы  бюджета поселения исполнены в сумме </w:t>
      </w:r>
      <w:r>
        <w:rPr>
          <w:sz w:val="28"/>
          <w:szCs w:val="28"/>
        </w:rPr>
        <w:t>1833,3</w:t>
      </w:r>
      <w:r>
        <w:rPr>
          <w:sz w:val="28"/>
          <w:szCs w:val="28"/>
        </w:rPr>
        <w:t xml:space="preserve"> тыс. рублей или </w:t>
      </w:r>
      <w:r>
        <w:rPr>
          <w:sz w:val="28"/>
          <w:szCs w:val="28"/>
        </w:rPr>
        <w:t>95,1</w:t>
      </w:r>
      <w:r>
        <w:rPr>
          <w:sz w:val="28"/>
          <w:szCs w:val="28"/>
        </w:rPr>
        <w:t xml:space="preserve"> процентов к годовым плановым назначениям.Объем безвозмездных поступлений в бюджет поселения за </w:t>
      </w:r>
      <w:r>
        <w:rPr>
          <w:sz w:val="28"/>
          <w:szCs w:val="28"/>
        </w:rPr>
        <w:t>9 месяцев</w:t>
      </w:r>
      <w:r>
        <w:rPr>
          <w:sz w:val="28"/>
          <w:szCs w:val="28"/>
        </w:rPr>
        <w:t xml:space="preserve"> 2024 года составил </w:t>
      </w:r>
      <w:r>
        <w:rPr>
          <w:sz w:val="28"/>
          <w:szCs w:val="28"/>
        </w:rPr>
        <w:t xml:space="preserve">42 879,7 </w:t>
      </w:r>
      <w:r>
        <w:rPr>
          <w:sz w:val="28"/>
          <w:szCs w:val="28"/>
        </w:rPr>
        <w:t>тыс. рублей, в том числе:</w:t>
      </w:r>
    </w:p>
    <w:p>
      <w:pPr>
        <w:pStyle w:val="Normal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-дотация на выравнивание бюджетной обеспеченности </w:t>
      </w:r>
      <w:r>
        <w:rPr>
          <w:sz w:val="28"/>
          <w:szCs w:val="28"/>
        </w:rPr>
        <w:t>9095,0</w:t>
      </w:r>
      <w:r>
        <w:rPr>
          <w:sz w:val="28"/>
          <w:szCs w:val="28"/>
        </w:rPr>
        <w:t xml:space="preserve"> тыс. рублей;</w:t>
      </w:r>
    </w:p>
    <w:p>
      <w:pPr>
        <w:pStyle w:val="Normal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-дотация по обеспечению сбалансированности бюджета </w:t>
      </w:r>
      <w:r>
        <w:rPr>
          <w:sz w:val="28"/>
          <w:szCs w:val="28"/>
        </w:rPr>
        <w:t xml:space="preserve">324,9 </w:t>
      </w:r>
      <w:r>
        <w:rPr>
          <w:sz w:val="28"/>
          <w:szCs w:val="28"/>
        </w:rPr>
        <w:t>тыс. рублей;</w:t>
      </w:r>
    </w:p>
    <w:p>
      <w:pPr>
        <w:pStyle w:val="Normal"/>
        <w:jc w:val="both"/>
        <w:rPr>
          <w:sz w:val="28"/>
          <w:szCs w:val="28"/>
        </w:rPr>
      </w:pPr>
      <w:r>
        <w:rPr>
          <w:sz w:val="28"/>
          <w:szCs w:val="28"/>
        </w:rPr>
        <w:t>-субвенции 1</w:t>
      </w:r>
      <w:r>
        <w:rPr>
          <w:sz w:val="28"/>
          <w:szCs w:val="28"/>
        </w:rPr>
        <w:t>87,2</w:t>
      </w:r>
      <w:r>
        <w:rPr>
          <w:sz w:val="28"/>
          <w:szCs w:val="28"/>
        </w:rPr>
        <w:t xml:space="preserve"> тыс. рублей;</w:t>
      </w:r>
    </w:p>
    <w:p>
      <w:pPr>
        <w:pStyle w:val="Normal"/>
        <w:jc w:val="both"/>
        <w:rPr>
          <w:sz w:val="28"/>
          <w:szCs w:val="28"/>
        </w:rPr>
      </w:pPr>
      <w:r>
        <w:rPr>
          <w:sz w:val="28"/>
          <w:szCs w:val="28"/>
        </w:rPr>
        <w:t>- иные межбюджетные трансферты 3</w:t>
      </w:r>
      <w:r>
        <w:rPr>
          <w:sz w:val="28"/>
          <w:szCs w:val="28"/>
        </w:rPr>
        <w:t>3 272,4</w:t>
      </w:r>
      <w:r>
        <w:rPr>
          <w:sz w:val="28"/>
          <w:szCs w:val="28"/>
        </w:rPr>
        <w:t xml:space="preserve"> тыс. рублей</w:t>
      </w:r>
    </w:p>
    <w:p>
      <w:pPr>
        <w:pStyle w:val="Normal"/>
        <w:jc w:val="both"/>
        <w:rPr>
          <w:b/>
          <w:sz w:val="28"/>
          <w:szCs w:val="28"/>
        </w:rPr>
      </w:pPr>
      <w:r>
        <w:rPr>
          <w:sz w:val="28"/>
          <w:szCs w:val="28"/>
        </w:rPr>
        <w:t xml:space="preserve">   </w:t>
      </w:r>
      <w:r>
        <w:rPr>
          <w:b/>
          <w:sz w:val="28"/>
          <w:szCs w:val="28"/>
        </w:rPr>
        <w:t xml:space="preserve">  </w:t>
      </w:r>
      <w:r>
        <w:rPr>
          <w:b/>
          <w:sz w:val="28"/>
          <w:szCs w:val="28"/>
        </w:rPr>
        <w:t>Основные направления расходов  бюджета поселения:</w:t>
      </w:r>
    </w:p>
    <w:p>
      <w:pPr>
        <w:pStyle w:val="Normal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Общегосударственные вопросы – </w:t>
      </w:r>
      <w:r>
        <w:rPr>
          <w:sz w:val="28"/>
          <w:szCs w:val="28"/>
        </w:rPr>
        <w:t>4429,7</w:t>
      </w:r>
      <w:r>
        <w:rPr>
          <w:sz w:val="28"/>
          <w:szCs w:val="28"/>
        </w:rPr>
        <w:t xml:space="preserve"> тыс. рублей (содержание органов управления, уплата налогов, сборов и других обязательных платежей, публикация НПА.</w:t>
      </w:r>
    </w:p>
    <w:p>
      <w:pPr>
        <w:pStyle w:val="Normal"/>
        <w:jc w:val="both"/>
        <w:rPr>
          <w:sz w:val="28"/>
          <w:szCs w:val="28"/>
        </w:rPr>
      </w:pPr>
      <w:r>
        <w:rPr>
          <w:sz w:val="28"/>
          <w:szCs w:val="28"/>
        </w:rPr>
        <w:t>2. Национальная оборона – 1</w:t>
      </w:r>
      <w:r>
        <w:rPr>
          <w:sz w:val="28"/>
          <w:szCs w:val="28"/>
        </w:rPr>
        <w:t>87,2</w:t>
      </w:r>
      <w:r>
        <w:rPr>
          <w:sz w:val="28"/>
          <w:szCs w:val="28"/>
        </w:rPr>
        <w:t xml:space="preserve"> тыс. рублей содержание специалиста ПВУ.</w:t>
      </w:r>
    </w:p>
    <w:p>
      <w:pPr>
        <w:pStyle w:val="Normal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3.Национальная безопасность – </w:t>
      </w:r>
      <w:r>
        <w:rPr>
          <w:sz w:val="28"/>
          <w:szCs w:val="28"/>
        </w:rPr>
        <w:t>6,5</w:t>
      </w:r>
      <w:r>
        <w:rPr>
          <w:sz w:val="28"/>
          <w:szCs w:val="28"/>
        </w:rPr>
        <w:t xml:space="preserve"> тыс. рублей  расходы на техническое обслуживание огнетушителей .</w:t>
      </w:r>
    </w:p>
    <w:p>
      <w:pPr>
        <w:pStyle w:val="Normal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Жилищно-коммунальное хозяйство –  </w:t>
      </w:r>
      <w:r>
        <w:rPr>
          <w:sz w:val="28"/>
          <w:szCs w:val="28"/>
        </w:rPr>
        <w:t>3279,3</w:t>
      </w:r>
      <w:r>
        <w:rPr>
          <w:sz w:val="28"/>
          <w:szCs w:val="28"/>
        </w:rPr>
        <w:t xml:space="preserve"> тыс. рублей расходы на мероприятия по содержанию и переоборудованию  уличного освещения, включая оплату уличного освещения, благоустройство территории (покос травы и уборка территории).</w:t>
      </w:r>
    </w:p>
    <w:p>
      <w:pPr>
        <w:pStyle w:val="Normal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4. Обеспечение деятельности учреждений культуры  </w:t>
      </w:r>
      <w:r>
        <w:rPr>
          <w:sz w:val="28"/>
          <w:szCs w:val="28"/>
        </w:rPr>
        <w:t>34 217,8</w:t>
      </w:r>
      <w:r>
        <w:rPr>
          <w:sz w:val="28"/>
          <w:szCs w:val="28"/>
        </w:rPr>
        <w:t xml:space="preserve"> тыс. рублей расходы на выполнений муниципальных заданий бюджетными учреждениями Саркеловского сельского поселения, а также </w:t>
      </w:r>
      <w:r>
        <w:rPr>
          <w:rFonts w:eastAsia="Calibri"/>
          <w:sz w:val="28"/>
          <w:szCs w:val="28"/>
          <w:lang w:eastAsia="en-US"/>
        </w:rPr>
        <w:t>расходы на работы по капитальному ремонту здания Муниципального бюджетного учреждения культуры Цимлянского района Саркеловского сельского поселения «Центральный дом культуры»</w:t>
      </w:r>
    </w:p>
    <w:p>
      <w:pPr>
        <w:pStyle w:val="Normal"/>
        <w:jc w:val="both"/>
        <w:rPr>
          <w:sz w:val="28"/>
          <w:szCs w:val="28"/>
          <w:highlight w:val="red"/>
        </w:rPr>
      </w:pPr>
      <w:r>
        <w:rPr>
          <w:sz w:val="28"/>
          <w:szCs w:val="28"/>
        </w:rPr>
        <w:t xml:space="preserve">  </w:t>
      </w:r>
      <w:r>
        <w:rPr>
          <w:sz w:val="28"/>
          <w:szCs w:val="28"/>
        </w:rPr>
        <w:t>5.Расходы на дополнительное образование работников муниципальных органов -11,0 тыс.рублей.</w:t>
      </w:r>
    </w:p>
    <w:p>
      <w:pPr>
        <w:pStyle w:val="Normal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</w:t>
      </w:r>
      <w:r>
        <w:rPr>
          <w:sz w:val="28"/>
          <w:szCs w:val="28"/>
        </w:rPr>
        <w:t xml:space="preserve">6. Социальная политика – 48,8 тыс. рублей – выплата пенсии муниципальным служащим Саркеловского сельского поселения.   </w:t>
      </w:r>
    </w:p>
    <w:p>
      <w:pPr>
        <w:pStyle w:val="Normal"/>
        <w:jc w:val="both"/>
        <w:rPr>
          <w:highlight w:val="none"/>
          <w:shd w:fill="FFFFFF" w:val="clear"/>
        </w:rPr>
      </w:pPr>
      <w:r>
        <w:rPr>
          <w:shd w:fill="FFFFFF" w:val="clear"/>
        </w:rPr>
        <w:tab/>
      </w:r>
      <w:r>
        <w:rPr>
          <w:sz w:val="28"/>
          <w:szCs w:val="28"/>
          <w:shd w:fill="FFFFFF" w:val="clear"/>
        </w:rPr>
        <w:t xml:space="preserve">Расходы на содержание органов управления составили </w:t>
      </w:r>
      <w:r>
        <w:rPr>
          <w:sz w:val="28"/>
          <w:szCs w:val="28"/>
          <w:shd w:fill="FFFFFF" w:val="clear"/>
        </w:rPr>
        <w:t>4 338,8</w:t>
      </w:r>
      <w:r>
        <w:rPr>
          <w:sz w:val="28"/>
          <w:szCs w:val="28"/>
          <w:shd w:fill="FFFFFF" w:val="clear"/>
        </w:rPr>
        <w:t xml:space="preserve"> тыс. рублей.  </w:t>
      </w:r>
    </w:p>
    <w:p>
      <w:pPr>
        <w:pStyle w:val="Normal"/>
        <w:jc w:val="both"/>
        <w:rPr>
          <w:highlight w:val="none"/>
          <w:shd w:fill="FFFFFF" w:val="clear"/>
        </w:rPr>
      </w:pPr>
      <w:r>
        <w:rPr>
          <w:sz w:val="28"/>
          <w:szCs w:val="28"/>
          <w:shd w:fill="FFFFFF" w:val="clear"/>
        </w:rPr>
        <w:tab/>
        <w:t xml:space="preserve">Кредиторская задолженность бюджета поселения </w:t>
      </w:r>
      <w:r>
        <w:rPr>
          <w:sz w:val="28"/>
          <w:szCs w:val="28"/>
          <w:shd w:fill="FFFFFF" w:val="clear"/>
        </w:rPr>
        <w:t>н</w:t>
      </w:r>
      <w:r>
        <w:rPr>
          <w:sz w:val="28"/>
          <w:szCs w:val="28"/>
          <w:shd w:fill="FFFFFF" w:val="clear"/>
        </w:rPr>
        <w:t xml:space="preserve">а </w:t>
      </w:r>
      <w:r>
        <w:rPr>
          <w:sz w:val="28"/>
          <w:szCs w:val="28"/>
          <w:shd w:fill="FFFFFF" w:val="clear"/>
        </w:rPr>
        <w:t>9 месяцев</w:t>
      </w:r>
      <w:r>
        <w:rPr>
          <w:sz w:val="28"/>
          <w:szCs w:val="28"/>
          <w:shd w:fill="FFFFFF" w:val="clear"/>
        </w:rPr>
        <w:t xml:space="preserve"> 2024 года составила – </w:t>
      </w:r>
      <w:r>
        <w:rPr>
          <w:sz w:val="28"/>
          <w:szCs w:val="28"/>
          <w:shd w:fill="FFFFFF" w:val="clear"/>
        </w:rPr>
        <w:t>190,7</w:t>
      </w:r>
      <w:r>
        <w:rPr>
          <w:sz w:val="28"/>
          <w:szCs w:val="28"/>
          <w:shd w:fill="FFFFFF" w:val="clear"/>
        </w:rPr>
        <w:t xml:space="preserve"> тыс. рублей, в том числе кредиторская задолженность бюджетных учреждений –</w:t>
      </w:r>
      <w:r>
        <w:rPr>
          <w:sz w:val="28"/>
          <w:szCs w:val="28"/>
          <w:shd w:fill="FFFFFF" w:val="clear"/>
        </w:rPr>
        <w:t>85,6</w:t>
      </w:r>
      <w:r>
        <w:rPr>
          <w:sz w:val="28"/>
          <w:szCs w:val="28"/>
          <w:shd w:fill="FFFFFF" w:val="clear"/>
        </w:rPr>
        <w:t xml:space="preserve"> тыс. рублей.</w:t>
      </w:r>
    </w:p>
    <w:p>
      <w:pPr>
        <w:pStyle w:val="Normal"/>
        <w:ind w:firstLine="374"/>
        <w:jc w:val="both"/>
        <w:rPr>
          <w:sz w:val="28"/>
          <w:szCs w:val="28"/>
        </w:rPr>
      </w:pPr>
      <w:r>
        <w:rPr>
          <w:sz w:val="28"/>
          <w:szCs w:val="28"/>
        </w:rPr>
        <w:tab/>
        <w:t xml:space="preserve">Просроченная кредиторская задолженность поселения  за </w:t>
      </w:r>
      <w:r>
        <w:rPr>
          <w:sz w:val="28"/>
          <w:szCs w:val="28"/>
        </w:rPr>
        <w:t>9 месяцев</w:t>
      </w:r>
      <w:r>
        <w:rPr>
          <w:sz w:val="28"/>
          <w:szCs w:val="28"/>
        </w:rPr>
        <w:t xml:space="preserve"> 2024 года года отсутствует.</w:t>
      </w:r>
    </w:p>
    <w:p>
      <w:pPr>
        <w:pStyle w:val="Normal"/>
        <w:ind w:firstLine="374"/>
        <w:jc w:val="both"/>
        <w:rPr>
          <w:sz w:val="28"/>
          <w:szCs w:val="28"/>
        </w:rPr>
      </w:pPr>
      <w:r>
        <w:rPr>
          <w:sz w:val="28"/>
          <w:szCs w:val="28"/>
        </w:rPr>
        <w:tab/>
        <w:tab/>
        <w:t xml:space="preserve">На реализацию  муниципальных программ из бюджета поселения направлено </w:t>
      </w:r>
      <w:r>
        <w:rPr>
          <w:sz w:val="28"/>
          <w:szCs w:val="28"/>
        </w:rPr>
        <w:t xml:space="preserve">37 503,6 </w:t>
      </w:r>
      <w:r>
        <w:rPr>
          <w:sz w:val="28"/>
          <w:szCs w:val="28"/>
        </w:rPr>
        <w:t xml:space="preserve">тыс. рублей, что составляет от общей суммы расходов </w:t>
      </w:r>
      <w:r>
        <w:rPr>
          <w:sz w:val="28"/>
          <w:szCs w:val="28"/>
        </w:rPr>
        <w:t>60,5</w:t>
      </w:r>
      <w:r>
        <w:rPr>
          <w:sz w:val="28"/>
          <w:szCs w:val="28"/>
        </w:rPr>
        <w:t xml:space="preserve"> процента. </w:t>
      </w:r>
    </w:p>
    <w:p>
      <w:pPr>
        <w:pStyle w:val="Normal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BodyText"/>
        <w:spacing w:before="0" w:after="0"/>
        <w:rPr>
          <w:sz w:val="28"/>
          <w:szCs w:val="28"/>
        </w:rPr>
      </w:pPr>
      <w:r>
        <w:rPr>
          <w:sz w:val="28"/>
          <w:szCs w:val="28"/>
        </w:rPr>
        <w:t>Заведующий сектором экономики и финансов                                       М.А.Маврат</w:t>
      </w:r>
    </w:p>
    <w:p>
      <w:pPr>
        <w:pStyle w:val="BodyText"/>
        <w:spacing w:before="0" w:after="0"/>
        <w:jc w:val="both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BodyText"/>
        <w:spacing w:before="0" w:after="0"/>
        <w:jc w:val="both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BodyText"/>
        <w:spacing w:before="0" w:after="0"/>
        <w:jc w:val="both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BodyText"/>
        <w:spacing w:before="0" w:after="0"/>
        <w:jc w:val="both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BodyText"/>
        <w:spacing w:before="0" w:after="0"/>
        <w:jc w:val="both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BodyText"/>
        <w:spacing w:before="0" w:after="0"/>
        <w:jc w:val="both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BodyText"/>
        <w:spacing w:before="0" w:after="0"/>
        <w:jc w:val="both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BodyText"/>
        <w:spacing w:before="0" w:after="0"/>
        <w:jc w:val="both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BodyText"/>
        <w:spacing w:before="0" w:after="0"/>
        <w:jc w:val="both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BodyText"/>
        <w:spacing w:before="0" w:after="0"/>
        <w:jc w:val="both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BodyText"/>
        <w:spacing w:before="0" w:after="0"/>
        <w:jc w:val="both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BodyText"/>
        <w:spacing w:before="0" w:after="0"/>
        <w:jc w:val="both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BodyText"/>
        <w:spacing w:before="0" w:after="0"/>
        <w:jc w:val="both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BodyText"/>
        <w:spacing w:before="0" w:after="0"/>
        <w:jc w:val="both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BodyText"/>
        <w:spacing w:before="0" w:after="0"/>
        <w:jc w:val="both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BodyText"/>
        <w:spacing w:before="0" w:after="0"/>
        <w:jc w:val="both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BodyText"/>
        <w:spacing w:before="0" w:after="0"/>
        <w:jc w:val="both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BodyText"/>
        <w:spacing w:before="0" w:after="0"/>
        <w:jc w:val="both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BodyText"/>
        <w:spacing w:before="0" w:after="0"/>
        <w:jc w:val="both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BodyText"/>
        <w:spacing w:before="0" w:after="0"/>
        <w:jc w:val="both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BodyText"/>
        <w:spacing w:before="0" w:after="0"/>
        <w:jc w:val="both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BodyText"/>
        <w:spacing w:before="0" w:after="0"/>
        <w:jc w:val="both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BodyText"/>
        <w:spacing w:before="0" w:after="0"/>
        <w:jc w:val="both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BodyText"/>
        <w:tabs>
          <w:tab w:val="clear" w:pos="708"/>
          <w:tab w:val="left" w:pos="8790" w:leader="none"/>
        </w:tabs>
        <w:spacing w:before="0" w:after="0"/>
        <w:jc w:val="both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BodyText"/>
        <w:spacing w:before="0" w:after="0"/>
        <w:jc w:val="both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BodyText"/>
        <w:spacing w:before="0" w:after="0"/>
        <w:jc w:val="both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BodyText"/>
        <w:spacing w:before="0" w:after="0"/>
        <w:jc w:val="both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BodyText"/>
        <w:spacing w:before="0" w:after="0"/>
        <w:jc w:val="both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BodyText"/>
        <w:spacing w:before="0" w:after="0"/>
        <w:jc w:val="both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BodyText"/>
        <w:spacing w:before="0" w:after="0"/>
        <w:jc w:val="both"/>
        <w:rPr>
          <w:sz w:val="28"/>
          <w:szCs w:val="28"/>
        </w:rPr>
      </w:pPr>
      <w:r>
        <w:rPr>
          <w:sz w:val="28"/>
          <w:szCs w:val="28"/>
        </w:rPr>
      </w:r>
    </w:p>
    <w:tbl>
      <w:tblPr>
        <w:tblW w:w="10368" w:type="dxa"/>
        <w:jc w:val="left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firstRow="1" w:noVBand="0" w:lastRow="1" w:firstColumn="1" w:lastColumn="1" w:noHBand="0" w:val="01e0"/>
      </w:tblPr>
      <w:tblGrid>
        <w:gridCol w:w="5196"/>
        <w:gridCol w:w="5171"/>
      </w:tblGrid>
      <w:tr>
        <w:trPr>
          <w:trHeight w:val="1189" w:hRule="atLeast"/>
        </w:trPr>
        <w:tc>
          <w:tcPr>
            <w:tcW w:w="5196" w:type="dxa"/>
            <w:tcBorders/>
          </w:tcPr>
          <w:p>
            <w:pPr>
              <w:pStyle w:val="Normal"/>
              <w:ind w:left="-360"/>
              <w:jc w:val="right"/>
              <w:rPr/>
            </w:pPr>
            <w:r>
              <w:rPr/>
            </w:r>
          </w:p>
        </w:tc>
        <w:tc>
          <w:tcPr>
            <w:tcW w:w="5171" w:type="dxa"/>
            <w:tcBorders/>
          </w:tcPr>
          <w:p>
            <w:pPr>
              <w:pStyle w:val="ConsPlusNormal"/>
              <w:widowControl/>
              <w:jc w:val="right"/>
              <w:rPr>
                <w:szCs w:val="28"/>
              </w:rPr>
            </w:pPr>
            <w:r>
              <w:rPr>
                <w:szCs w:val="28"/>
              </w:rPr>
              <w:t>Приложение № 1</w:t>
            </w:r>
          </w:p>
          <w:p>
            <w:pPr>
              <w:pStyle w:val="ConsPlusNormal"/>
              <w:widowControl/>
              <w:jc w:val="right"/>
              <w:rPr>
                <w:szCs w:val="28"/>
              </w:rPr>
            </w:pPr>
            <w:r>
              <w:rPr>
                <w:szCs w:val="28"/>
              </w:rPr>
              <w:t>к сведениям о ходе исполнения</w:t>
            </w:r>
          </w:p>
          <w:p>
            <w:pPr>
              <w:pStyle w:val="ConsPlusNormal"/>
              <w:widowControl/>
              <w:jc w:val="right"/>
              <w:rPr>
                <w:szCs w:val="28"/>
              </w:rPr>
            </w:pPr>
            <w:r>
              <w:rPr>
                <w:szCs w:val="28"/>
              </w:rPr>
              <w:t>бюджета поселения</w:t>
            </w:r>
          </w:p>
          <w:p>
            <w:pPr>
              <w:pStyle w:val="ConsPlusNormal"/>
              <w:widowControl/>
              <w:spacing w:lineRule="auto" w:line="228"/>
              <w:jc w:val="both"/>
              <w:rPr>
                <w:szCs w:val="28"/>
              </w:rPr>
            </w:pPr>
            <w:r>
              <w:rPr>
                <w:sz w:val="28"/>
                <w:szCs w:val="28"/>
              </w:rPr>
              <w:t xml:space="preserve">                            </w:t>
            </w:r>
            <w:r>
              <w:rPr>
                <w:sz w:val="28"/>
                <w:szCs w:val="28"/>
              </w:rPr>
              <w:t xml:space="preserve">за </w:t>
            </w:r>
            <w:r>
              <w:rPr>
                <w:sz w:val="28"/>
                <w:szCs w:val="28"/>
              </w:rPr>
              <w:t>9 месяцев</w:t>
            </w:r>
            <w:r>
              <w:rPr>
                <w:sz w:val="28"/>
                <w:szCs w:val="28"/>
              </w:rPr>
              <w:t xml:space="preserve"> 2024 года</w:t>
            </w:r>
          </w:p>
          <w:p>
            <w:pPr>
              <w:pStyle w:val="Normal"/>
              <w:jc w:val="right"/>
              <w:rPr/>
            </w:pPr>
            <w:r>
              <w:rPr/>
            </w:r>
          </w:p>
        </w:tc>
      </w:tr>
      <w:tr>
        <w:trPr/>
        <w:tc>
          <w:tcPr>
            <w:tcW w:w="10367" w:type="dxa"/>
            <w:gridSpan w:val="2"/>
            <w:tcBorders/>
          </w:tcPr>
          <w:p>
            <w:pPr>
              <w:pStyle w:val="Normal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ИНФОРМАЦИЯ</w:t>
            </w:r>
          </w:p>
        </w:tc>
      </w:tr>
      <w:tr>
        <w:trPr>
          <w:trHeight w:val="241" w:hRule="atLeast"/>
        </w:trPr>
        <w:tc>
          <w:tcPr>
            <w:tcW w:w="10367" w:type="dxa"/>
            <w:gridSpan w:val="2"/>
            <w:tcBorders/>
          </w:tcPr>
          <w:p>
            <w:pPr>
              <w:pStyle w:val="Normal"/>
              <w:jc w:val="center"/>
              <w:rPr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 xml:space="preserve">об исполнении бюджета поселения за </w:t>
            </w:r>
            <w:r>
              <w:rPr>
                <w:bCs/>
                <w:sz w:val="28"/>
                <w:szCs w:val="28"/>
              </w:rPr>
              <w:t>9 месяцев</w:t>
            </w:r>
            <w:r>
              <w:rPr>
                <w:bCs/>
                <w:sz w:val="28"/>
                <w:szCs w:val="28"/>
              </w:rPr>
              <w:t xml:space="preserve"> 2024 года</w:t>
            </w:r>
          </w:p>
        </w:tc>
      </w:tr>
      <w:tr>
        <w:trPr/>
        <w:tc>
          <w:tcPr>
            <w:tcW w:w="10367" w:type="dxa"/>
            <w:gridSpan w:val="2"/>
            <w:tcBorders/>
          </w:tcPr>
          <w:p>
            <w:pPr>
              <w:pStyle w:val="Normal"/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тыс. рублей</w:t>
            </w:r>
          </w:p>
        </w:tc>
      </w:tr>
    </w:tbl>
    <w:p>
      <w:pPr>
        <w:pStyle w:val="Normal"/>
        <w:rPr>
          <w:sz w:val="8"/>
          <w:szCs w:val="20"/>
        </w:rPr>
      </w:pPr>
      <w:r>
        <w:rPr>
          <w:sz w:val="8"/>
          <w:szCs w:val="20"/>
        </w:rPr>
      </w:r>
    </w:p>
    <w:tbl>
      <w:tblPr>
        <w:tblW w:w="10496" w:type="dxa"/>
        <w:jc w:val="left"/>
        <w:tblInd w:w="78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firstRow="0" w:noVBand="0" w:lastRow="0" w:firstColumn="0" w:lastColumn="0" w:noHBand="0" w:val="0000"/>
      </w:tblPr>
      <w:tblGrid>
        <w:gridCol w:w="10"/>
        <w:gridCol w:w="6859"/>
        <w:gridCol w:w="2007"/>
        <w:gridCol w:w="1619"/>
      </w:tblGrid>
      <w:tr>
        <w:trPr>
          <w:trHeight w:val="270" w:hRule="atLeast"/>
        </w:trPr>
        <w:tc>
          <w:tcPr>
            <w:tcW w:w="10" w:type="dxa"/>
            <w:tcBorders/>
          </w:tcPr>
          <w:p>
            <w:pPr>
              <w:pStyle w:val="Normal"/>
              <w:ind w:left="-453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</w:r>
          </w:p>
        </w:tc>
        <w:tc>
          <w:tcPr>
            <w:tcW w:w="685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ind w:left="-453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</w:r>
          </w:p>
          <w:p>
            <w:pPr>
              <w:pStyle w:val="Normal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Наименование показателя</w:t>
            </w:r>
          </w:p>
          <w:p>
            <w:pPr>
              <w:pStyle w:val="Normal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</w:r>
          </w:p>
        </w:tc>
        <w:tc>
          <w:tcPr>
            <w:tcW w:w="2007" w:type="dxa"/>
            <w:tcBorders>
              <w:top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Утвержденные</w:t>
            </w:r>
          </w:p>
        </w:tc>
        <w:tc>
          <w:tcPr>
            <w:tcW w:w="1619" w:type="dxa"/>
            <w:vMerge w:val="restart"/>
            <w:tcBorders>
              <w:top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</w:r>
          </w:p>
          <w:p>
            <w:pPr>
              <w:pStyle w:val="Normal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Исполнено</w:t>
            </w:r>
          </w:p>
          <w:p>
            <w:pPr>
              <w:pStyle w:val="Normal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</w:r>
          </w:p>
        </w:tc>
      </w:tr>
      <w:tr>
        <w:trPr>
          <w:trHeight w:val="199" w:hRule="atLeast"/>
        </w:trPr>
        <w:tc>
          <w:tcPr>
            <w:tcW w:w="10" w:type="dxa"/>
            <w:tcBorders/>
          </w:tcPr>
          <w:p>
            <w:pPr>
              <w:pStyle w:val="Normal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</w:r>
          </w:p>
        </w:tc>
        <w:tc>
          <w:tcPr>
            <w:tcW w:w="6859" w:type="dxa"/>
            <w:vMerge w:val="continue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</w:r>
          </w:p>
        </w:tc>
        <w:tc>
          <w:tcPr>
            <w:tcW w:w="2007" w:type="dxa"/>
            <w:tcBorders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бюджетные</w:t>
            </w:r>
          </w:p>
        </w:tc>
        <w:tc>
          <w:tcPr>
            <w:tcW w:w="1619" w:type="dxa"/>
            <w:vMerge w:val="continue"/>
            <w:tcBorders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</w:r>
          </w:p>
        </w:tc>
      </w:tr>
      <w:tr>
        <w:trPr>
          <w:trHeight w:val="235" w:hRule="atLeast"/>
        </w:trPr>
        <w:tc>
          <w:tcPr>
            <w:tcW w:w="10" w:type="dxa"/>
            <w:tcBorders/>
          </w:tcPr>
          <w:p>
            <w:pPr>
              <w:pStyle w:val="Normal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</w:r>
          </w:p>
        </w:tc>
        <w:tc>
          <w:tcPr>
            <w:tcW w:w="6859" w:type="dxa"/>
            <w:vMerge w:val="continue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</w:r>
          </w:p>
        </w:tc>
        <w:tc>
          <w:tcPr>
            <w:tcW w:w="2007" w:type="dxa"/>
            <w:tcBorders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назначения</w:t>
            </w:r>
          </w:p>
        </w:tc>
        <w:tc>
          <w:tcPr>
            <w:tcW w:w="1619" w:type="dxa"/>
            <w:vMerge w:val="continue"/>
            <w:tcBorders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</w:r>
          </w:p>
        </w:tc>
      </w:tr>
      <w:tr>
        <w:trPr>
          <w:trHeight w:val="199" w:hRule="atLeast"/>
        </w:trPr>
        <w:tc>
          <w:tcPr>
            <w:tcW w:w="10" w:type="dxa"/>
            <w:tcBorders/>
          </w:tcPr>
          <w:p>
            <w:pPr>
              <w:pStyle w:val="Normal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</w:r>
          </w:p>
        </w:tc>
        <w:tc>
          <w:tcPr>
            <w:tcW w:w="6859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2007" w:type="dxa"/>
            <w:tcBorders>
              <w:top w:val="single" w:sz="4" w:space="0" w:color="000000"/>
              <w:bottom w:val="single" w:sz="8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</w:p>
        </w:tc>
        <w:tc>
          <w:tcPr>
            <w:tcW w:w="1619" w:type="dxa"/>
            <w:tcBorders>
              <w:top w:val="single" w:sz="4" w:space="0" w:color="000000"/>
              <w:bottom w:val="single" w:sz="8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</w:p>
        </w:tc>
      </w:tr>
      <w:tr>
        <w:trPr>
          <w:trHeight w:val="319" w:hRule="atLeast"/>
        </w:trPr>
        <w:tc>
          <w:tcPr>
            <w:tcW w:w="10" w:type="dxa"/>
            <w:tcBorders/>
          </w:tcPr>
          <w:p>
            <w:pPr>
              <w:pStyle w:val="Normal"/>
              <w:rPr>
                <w:b/>
                <w:i/>
                <w:i/>
                <w:sz w:val="28"/>
                <w:szCs w:val="28"/>
              </w:rPr>
            </w:pPr>
            <w:r>
              <w:rPr>
                <w:b/>
                <w:i/>
                <w:sz w:val="28"/>
                <w:szCs w:val="28"/>
              </w:rPr>
            </w:r>
          </w:p>
        </w:tc>
        <w:tc>
          <w:tcPr>
            <w:tcW w:w="6859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rPr>
                <w:b/>
                <w:i/>
                <w:i/>
                <w:sz w:val="28"/>
                <w:szCs w:val="28"/>
              </w:rPr>
            </w:pPr>
            <w:r>
              <w:rPr>
                <w:b/>
                <w:i/>
                <w:sz w:val="28"/>
                <w:szCs w:val="28"/>
              </w:rPr>
              <w:t>Доходы бюджета - Всего</w:t>
            </w:r>
          </w:p>
        </w:tc>
        <w:tc>
          <w:tcPr>
            <w:tcW w:w="2007" w:type="dxa"/>
            <w:tcBorders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b/>
                <w:i/>
                <w:i/>
                <w:sz w:val="28"/>
                <w:szCs w:val="28"/>
              </w:rPr>
            </w:pPr>
            <w:r>
              <w:rPr>
                <w:b/>
                <w:i/>
                <w:sz w:val="28"/>
                <w:szCs w:val="28"/>
              </w:rPr>
              <w:t>68 5</w:t>
            </w:r>
            <w:r>
              <w:rPr>
                <w:b/>
                <w:i/>
                <w:sz w:val="28"/>
                <w:szCs w:val="28"/>
              </w:rPr>
              <w:t>44,0</w:t>
            </w:r>
          </w:p>
        </w:tc>
        <w:tc>
          <w:tcPr>
            <w:tcW w:w="1619" w:type="dxa"/>
            <w:tcBorders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b/>
                <w:i/>
                <w:i/>
                <w:sz w:val="28"/>
                <w:szCs w:val="28"/>
              </w:rPr>
            </w:pPr>
            <w:r>
              <w:rPr>
                <w:b/>
                <w:i/>
                <w:sz w:val="28"/>
                <w:szCs w:val="28"/>
              </w:rPr>
              <w:t>44 713,0</w:t>
            </w:r>
          </w:p>
        </w:tc>
      </w:tr>
      <w:tr>
        <w:trPr>
          <w:trHeight w:val="480" w:hRule="atLeast"/>
        </w:trPr>
        <w:tc>
          <w:tcPr>
            <w:tcW w:w="10" w:type="dxa"/>
            <w:tcBorders/>
          </w:tcPr>
          <w:p>
            <w:pPr>
              <w:pStyle w:val="Normal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</w:r>
          </w:p>
        </w:tc>
        <w:tc>
          <w:tcPr>
            <w:tcW w:w="685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НАЛОГОВЫЕ И НЕНАЛОГОВЫЕ ДОХОДЫ</w:t>
            </w:r>
          </w:p>
        </w:tc>
        <w:tc>
          <w:tcPr>
            <w:tcW w:w="2007" w:type="dxa"/>
            <w:tcBorders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1929,2</w:t>
            </w:r>
          </w:p>
        </w:tc>
        <w:tc>
          <w:tcPr>
            <w:tcW w:w="1619" w:type="dxa"/>
            <w:tcBorders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1833,2</w:t>
            </w:r>
          </w:p>
        </w:tc>
      </w:tr>
      <w:tr>
        <w:trPr>
          <w:trHeight w:val="315" w:hRule="atLeast"/>
        </w:trPr>
        <w:tc>
          <w:tcPr>
            <w:tcW w:w="10" w:type="dxa"/>
            <w:tcBorders/>
          </w:tcPr>
          <w:p>
            <w:pPr>
              <w:pStyle w:val="Normal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</w:r>
          </w:p>
        </w:tc>
        <w:tc>
          <w:tcPr>
            <w:tcW w:w="685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НАЛОГИ НА ПРИБЫЛЬ, ДОХОДЫ</w:t>
            </w:r>
          </w:p>
        </w:tc>
        <w:tc>
          <w:tcPr>
            <w:tcW w:w="2007" w:type="dxa"/>
            <w:tcBorders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426,0</w:t>
            </w:r>
          </w:p>
        </w:tc>
        <w:tc>
          <w:tcPr>
            <w:tcW w:w="1619" w:type="dxa"/>
            <w:tcBorders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334,9</w:t>
            </w:r>
          </w:p>
        </w:tc>
      </w:tr>
      <w:tr>
        <w:trPr>
          <w:trHeight w:val="285" w:hRule="atLeast"/>
        </w:trPr>
        <w:tc>
          <w:tcPr>
            <w:tcW w:w="10" w:type="dxa"/>
            <w:tcBorders/>
          </w:tcPr>
          <w:p>
            <w:pPr>
              <w:pStyle w:val="Normal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</w:r>
          </w:p>
        </w:tc>
        <w:tc>
          <w:tcPr>
            <w:tcW w:w="685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Налог на доходы физических лиц</w:t>
            </w:r>
          </w:p>
        </w:tc>
        <w:tc>
          <w:tcPr>
            <w:tcW w:w="2007" w:type="dxa"/>
            <w:tcBorders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426,0</w:t>
            </w:r>
          </w:p>
        </w:tc>
        <w:tc>
          <w:tcPr>
            <w:tcW w:w="1619" w:type="dxa"/>
            <w:tcBorders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334,9</w:t>
            </w:r>
          </w:p>
        </w:tc>
      </w:tr>
      <w:tr>
        <w:trPr>
          <w:trHeight w:val="330" w:hRule="atLeast"/>
        </w:trPr>
        <w:tc>
          <w:tcPr>
            <w:tcW w:w="10" w:type="dxa"/>
            <w:tcBorders/>
          </w:tcPr>
          <w:p>
            <w:pPr>
              <w:pStyle w:val="Normal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</w:r>
          </w:p>
        </w:tc>
        <w:tc>
          <w:tcPr>
            <w:tcW w:w="685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НАЛОГИ НА ИМУЩЕСТВО</w:t>
            </w:r>
          </w:p>
        </w:tc>
        <w:tc>
          <w:tcPr>
            <w:tcW w:w="2007" w:type="dxa"/>
            <w:tcBorders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1 263,0</w:t>
            </w:r>
          </w:p>
        </w:tc>
        <w:tc>
          <w:tcPr>
            <w:tcW w:w="1619" w:type="dxa"/>
            <w:tcBorders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1220,1</w:t>
            </w:r>
          </w:p>
        </w:tc>
      </w:tr>
      <w:tr>
        <w:trPr>
          <w:trHeight w:val="255" w:hRule="atLeast"/>
        </w:trPr>
        <w:tc>
          <w:tcPr>
            <w:tcW w:w="10" w:type="dxa"/>
            <w:tcBorders/>
          </w:tcPr>
          <w:p>
            <w:pPr>
              <w:pStyle w:val="Normal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</w:r>
          </w:p>
        </w:tc>
        <w:tc>
          <w:tcPr>
            <w:tcW w:w="685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Налог на имущество физических лиц</w:t>
            </w:r>
          </w:p>
        </w:tc>
        <w:tc>
          <w:tcPr>
            <w:tcW w:w="2007" w:type="dxa"/>
            <w:tcBorders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302,0</w:t>
            </w:r>
          </w:p>
        </w:tc>
        <w:tc>
          <w:tcPr>
            <w:tcW w:w="1619" w:type="dxa"/>
            <w:tcBorders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311,8</w:t>
            </w:r>
          </w:p>
        </w:tc>
      </w:tr>
      <w:tr>
        <w:trPr>
          <w:trHeight w:val="225" w:hRule="atLeast"/>
        </w:trPr>
        <w:tc>
          <w:tcPr>
            <w:tcW w:w="10" w:type="dxa"/>
            <w:tcBorders/>
          </w:tcPr>
          <w:p>
            <w:pPr>
              <w:pStyle w:val="Normal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</w:r>
          </w:p>
        </w:tc>
        <w:tc>
          <w:tcPr>
            <w:tcW w:w="685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Земельный налог</w:t>
            </w:r>
          </w:p>
        </w:tc>
        <w:tc>
          <w:tcPr>
            <w:tcW w:w="2007" w:type="dxa"/>
            <w:tcBorders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961,0</w:t>
            </w:r>
          </w:p>
        </w:tc>
        <w:tc>
          <w:tcPr>
            <w:tcW w:w="1619" w:type="dxa"/>
            <w:tcBorders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908,4</w:t>
            </w:r>
          </w:p>
        </w:tc>
      </w:tr>
      <w:tr>
        <w:trPr>
          <w:trHeight w:val="255" w:hRule="atLeast"/>
        </w:trPr>
        <w:tc>
          <w:tcPr>
            <w:tcW w:w="10" w:type="dxa"/>
            <w:tcBorders/>
          </w:tcPr>
          <w:p>
            <w:pPr>
              <w:pStyle w:val="Normal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</w:r>
          </w:p>
        </w:tc>
        <w:tc>
          <w:tcPr>
            <w:tcW w:w="685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ГОСУДАРСТВЕННАЯ ПОШЛИНА</w:t>
            </w:r>
          </w:p>
        </w:tc>
        <w:tc>
          <w:tcPr>
            <w:tcW w:w="2007" w:type="dxa"/>
            <w:tcBorders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18,0</w:t>
            </w:r>
          </w:p>
        </w:tc>
        <w:tc>
          <w:tcPr>
            <w:tcW w:w="1619" w:type="dxa"/>
            <w:tcBorders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        </w:t>
            </w:r>
            <w:r>
              <w:rPr>
                <w:b/>
                <w:sz w:val="28"/>
                <w:szCs w:val="28"/>
              </w:rPr>
              <w:t>1</w:t>
            </w:r>
            <w:r>
              <w:rPr>
                <w:b/>
                <w:sz w:val="28"/>
                <w:szCs w:val="28"/>
              </w:rPr>
              <w:t>,4</w:t>
            </w:r>
          </w:p>
        </w:tc>
      </w:tr>
      <w:tr>
        <w:trPr>
          <w:trHeight w:val="907" w:hRule="atLeast"/>
        </w:trPr>
        <w:tc>
          <w:tcPr>
            <w:tcW w:w="10" w:type="dxa"/>
            <w:tcBorders/>
          </w:tcPr>
          <w:p>
            <w:pPr>
              <w:pStyle w:val="Normal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</w:r>
          </w:p>
        </w:tc>
        <w:tc>
          <w:tcPr>
            <w:tcW w:w="685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Государственная пошлина за совершение нотариальных действий (за исключением действий, совершаемых консульскими учреждениями Российской Федерации)</w:t>
            </w:r>
          </w:p>
        </w:tc>
        <w:tc>
          <w:tcPr>
            <w:tcW w:w="2007" w:type="dxa"/>
            <w:tcBorders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18,0</w:t>
            </w:r>
          </w:p>
        </w:tc>
        <w:tc>
          <w:tcPr>
            <w:tcW w:w="1619" w:type="dxa"/>
            <w:tcBorders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1,</w:t>
            </w:r>
            <w:r>
              <w:rPr>
                <w:sz w:val="26"/>
                <w:szCs w:val="26"/>
              </w:rPr>
              <w:t>4</w:t>
            </w:r>
          </w:p>
        </w:tc>
      </w:tr>
      <w:tr>
        <w:trPr>
          <w:trHeight w:val="945" w:hRule="atLeast"/>
        </w:trPr>
        <w:tc>
          <w:tcPr>
            <w:tcW w:w="10" w:type="dxa"/>
            <w:tcBorders/>
          </w:tcPr>
          <w:p>
            <w:pPr>
              <w:pStyle w:val="Normal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</w:r>
          </w:p>
        </w:tc>
        <w:tc>
          <w:tcPr>
            <w:tcW w:w="685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ДОХОДЫ ОТ ИСПОЛЬЗОВАНИЯ ИМУЩЕСТВА, НАХОДЯЩЕГОСЯ В ГОСУДАРСТВЕННОЙ И МУНИЦИПАЛЬНОЙ СОБСТВЕННОСТИ</w:t>
            </w:r>
          </w:p>
        </w:tc>
        <w:tc>
          <w:tcPr>
            <w:tcW w:w="2007" w:type="dxa"/>
            <w:tcBorders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109,2</w:t>
            </w:r>
          </w:p>
        </w:tc>
        <w:tc>
          <w:tcPr>
            <w:tcW w:w="1619" w:type="dxa"/>
            <w:tcBorders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84,6</w:t>
            </w:r>
          </w:p>
        </w:tc>
      </w:tr>
      <w:tr>
        <w:trPr>
          <w:trHeight w:val="1864" w:hRule="atLeast"/>
        </w:trPr>
        <w:tc>
          <w:tcPr>
            <w:tcW w:w="10" w:type="dxa"/>
            <w:tcBorders/>
          </w:tcPr>
          <w:p>
            <w:pPr>
              <w:pStyle w:val="Normal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</w:r>
          </w:p>
        </w:tc>
        <w:tc>
          <w:tcPr>
            <w:tcW w:w="685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Доходы, получаемые в виде арендной либо иной платы за передачу в возмездное пользование государственного и муниципального имущества (за исключением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2007" w:type="dxa"/>
            <w:tcBorders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109,2</w:t>
            </w:r>
          </w:p>
        </w:tc>
        <w:tc>
          <w:tcPr>
            <w:tcW w:w="1619" w:type="dxa"/>
            <w:tcBorders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84,6</w:t>
            </w:r>
          </w:p>
        </w:tc>
      </w:tr>
      <w:tr>
        <w:trPr>
          <w:trHeight w:val="364" w:hRule="atLeast"/>
        </w:trPr>
        <w:tc>
          <w:tcPr>
            <w:tcW w:w="10" w:type="dxa"/>
            <w:tcBorders/>
          </w:tcPr>
          <w:p>
            <w:pPr>
              <w:pStyle w:val="Normal"/>
              <w:rPr>
                <w:b/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</w:r>
          </w:p>
        </w:tc>
        <w:tc>
          <w:tcPr>
            <w:tcW w:w="685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rPr>
                <w:b/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>ДОХОДЫ ОТ ОКАЗАНИЯ ПЛАТНЫХ УСЛУГ И КОМПЕНСАЦИИ ЗАТРАТ ГОСУДАРСТВА</w:t>
            </w:r>
          </w:p>
        </w:tc>
        <w:tc>
          <w:tcPr>
            <w:tcW w:w="2007" w:type="dxa"/>
            <w:tcBorders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b/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>49,7</w:t>
            </w:r>
          </w:p>
        </w:tc>
        <w:tc>
          <w:tcPr>
            <w:tcW w:w="1619" w:type="dxa"/>
            <w:tcBorders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b/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>0,0</w:t>
            </w:r>
          </w:p>
        </w:tc>
      </w:tr>
      <w:tr>
        <w:trPr>
          <w:trHeight w:val="364" w:hRule="atLeast"/>
        </w:trPr>
        <w:tc>
          <w:tcPr>
            <w:tcW w:w="10" w:type="dxa"/>
            <w:tcBorders/>
          </w:tcPr>
          <w:p>
            <w:pPr>
              <w:pStyle w:val="Normal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</w:r>
          </w:p>
        </w:tc>
        <w:tc>
          <w:tcPr>
            <w:tcW w:w="685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Доходы от компенсации затрат государства</w:t>
            </w:r>
          </w:p>
        </w:tc>
        <w:tc>
          <w:tcPr>
            <w:tcW w:w="2007" w:type="dxa"/>
            <w:tcBorders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49,7</w:t>
            </w:r>
          </w:p>
        </w:tc>
        <w:tc>
          <w:tcPr>
            <w:tcW w:w="1619" w:type="dxa"/>
            <w:tcBorders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0,0</w:t>
            </w:r>
          </w:p>
        </w:tc>
      </w:tr>
      <w:tr>
        <w:trPr>
          <w:trHeight w:val="330" w:hRule="atLeast"/>
        </w:trPr>
        <w:tc>
          <w:tcPr>
            <w:tcW w:w="10" w:type="dxa"/>
            <w:tcBorders/>
          </w:tcPr>
          <w:p>
            <w:pPr>
              <w:pStyle w:val="Normal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</w:r>
          </w:p>
        </w:tc>
        <w:tc>
          <w:tcPr>
            <w:tcW w:w="685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ШТРАФЫ, САНКЦИИ, ВОЗМЕЩЕНИЕ УЩЕРБА</w:t>
            </w:r>
          </w:p>
        </w:tc>
        <w:tc>
          <w:tcPr>
            <w:tcW w:w="2007" w:type="dxa"/>
            <w:tcBorders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63,3</w:t>
            </w:r>
          </w:p>
        </w:tc>
        <w:tc>
          <w:tcPr>
            <w:tcW w:w="1619" w:type="dxa"/>
            <w:tcBorders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60,</w:t>
            </w:r>
            <w:r>
              <w:rPr>
                <w:b/>
                <w:sz w:val="28"/>
                <w:szCs w:val="28"/>
              </w:rPr>
              <w:t>7</w:t>
            </w:r>
          </w:p>
        </w:tc>
      </w:tr>
      <w:tr>
        <w:trPr>
          <w:trHeight w:val="720" w:hRule="atLeast"/>
        </w:trPr>
        <w:tc>
          <w:tcPr>
            <w:tcW w:w="10" w:type="dxa"/>
            <w:tcBorders/>
          </w:tcPr>
          <w:p>
            <w:pPr>
              <w:pStyle w:val="Normal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</w:r>
          </w:p>
        </w:tc>
        <w:tc>
          <w:tcPr>
            <w:tcW w:w="685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Денежные взыскания (штрафы), установленные законами субъектов Российской Федерации за несоблюдение муниципальных правовых актов</w:t>
            </w:r>
          </w:p>
        </w:tc>
        <w:tc>
          <w:tcPr>
            <w:tcW w:w="2007" w:type="dxa"/>
            <w:tcBorders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63,3</w:t>
            </w:r>
          </w:p>
        </w:tc>
        <w:tc>
          <w:tcPr>
            <w:tcW w:w="1619" w:type="dxa"/>
            <w:tcBorders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60,</w:t>
            </w:r>
            <w:r>
              <w:rPr>
                <w:sz w:val="26"/>
                <w:szCs w:val="26"/>
              </w:rPr>
              <w:t>7</w:t>
            </w:r>
          </w:p>
        </w:tc>
      </w:tr>
      <w:tr>
        <w:trPr>
          <w:trHeight w:val="285" w:hRule="atLeast"/>
        </w:trPr>
        <w:tc>
          <w:tcPr>
            <w:tcW w:w="10" w:type="dxa"/>
            <w:tcBorders/>
          </w:tcPr>
          <w:p>
            <w:pPr>
              <w:pStyle w:val="Normal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</w:r>
          </w:p>
        </w:tc>
        <w:tc>
          <w:tcPr>
            <w:tcW w:w="685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БЕЗВОЗМЕЗДНЫЕ ПОСТУПЛЕНИЯ</w:t>
            </w:r>
          </w:p>
        </w:tc>
        <w:tc>
          <w:tcPr>
            <w:tcW w:w="2007" w:type="dxa"/>
            <w:tcBorders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66 614,</w:t>
            </w:r>
            <w:r>
              <w:rPr>
                <w:b/>
                <w:sz w:val="28"/>
                <w:szCs w:val="28"/>
              </w:rPr>
              <w:t>8</w:t>
            </w:r>
          </w:p>
        </w:tc>
        <w:tc>
          <w:tcPr>
            <w:tcW w:w="1619" w:type="dxa"/>
            <w:tcBorders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42 879,7</w:t>
            </w:r>
          </w:p>
        </w:tc>
      </w:tr>
      <w:tr>
        <w:trPr>
          <w:trHeight w:val="1080" w:hRule="atLeast"/>
        </w:trPr>
        <w:tc>
          <w:tcPr>
            <w:tcW w:w="10" w:type="dxa"/>
            <w:tcBorders/>
          </w:tcPr>
          <w:p>
            <w:pPr>
              <w:pStyle w:val="Normal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</w:r>
          </w:p>
        </w:tc>
        <w:tc>
          <w:tcPr>
            <w:tcW w:w="685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БЕЗВОЗМЕЗДНЫЕ ПОСТУПЛЕНИЯ ОТ ДРУГИХ БЮДЖЕТОВ БЮДЖЕТНОЙ СИСТЕМЫ РОССИЙСКОЙ ФЕДЕРАЦИИ</w:t>
            </w:r>
          </w:p>
        </w:tc>
        <w:tc>
          <w:tcPr>
            <w:tcW w:w="2007" w:type="dxa"/>
            <w:tcBorders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66 614,</w:t>
            </w:r>
            <w:r>
              <w:rPr>
                <w:b/>
                <w:sz w:val="28"/>
                <w:szCs w:val="28"/>
              </w:rPr>
              <w:t>8</w:t>
            </w:r>
          </w:p>
        </w:tc>
        <w:tc>
          <w:tcPr>
            <w:tcW w:w="1619" w:type="dxa"/>
            <w:tcBorders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42 879,7</w:t>
            </w:r>
          </w:p>
        </w:tc>
      </w:tr>
      <w:tr>
        <w:trPr>
          <w:trHeight w:val="735" w:hRule="atLeast"/>
        </w:trPr>
        <w:tc>
          <w:tcPr>
            <w:tcW w:w="10" w:type="dxa"/>
            <w:tcBorders/>
          </w:tcPr>
          <w:p>
            <w:pPr>
              <w:pStyle w:val="Normal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</w:r>
          </w:p>
        </w:tc>
        <w:tc>
          <w:tcPr>
            <w:tcW w:w="685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Дотации бюджетам субъектов Российской Федерации и муниципальных образований</w:t>
            </w:r>
          </w:p>
        </w:tc>
        <w:tc>
          <w:tcPr>
            <w:tcW w:w="2007" w:type="dxa"/>
            <w:tcBorders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11 811,3</w:t>
            </w:r>
          </w:p>
        </w:tc>
        <w:tc>
          <w:tcPr>
            <w:tcW w:w="1619" w:type="dxa"/>
            <w:tcBorders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9419,9</w:t>
            </w:r>
          </w:p>
        </w:tc>
      </w:tr>
      <w:tr>
        <w:trPr>
          <w:trHeight w:val="615" w:hRule="atLeast"/>
        </w:trPr>
        <w:tc>
          <w:tcPr>
            <w:tcW w:w="10" w:type="dxa"/>
            <w:tcBorders/>
          </w:tcPr>
          <w:p>
            <w:pPr>
              <w:pStyle w:val="Normal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</w:r>
          </w:p>
        </w:tc>
        <w:tc>
          <w:tcPr>
            <w:tcW w:w="685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Субвенции бюджетам субъектов Российской Федерации и муниципальных образований</w:t>
            </w:r>
          </w:p>
        </w:tc>
        <w:tc>
          <w:tcPr>
            <w:tcW w:w="2007" w:type="dxa"/>
            <w:tcBorders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35</w:t>
            </w:r>
            <w:r>
              <w:rPr>
                <w:sz w:val="26"/>
                <w:szCs w:val="26"/>
              </w:rPr>
              <w:t>3,3</w:t>
            </w:r>
          </w:p>
        </w:tc>
        <w:tc>
          <w:tcPr>
            <w:tcW w:w="1619" w:type="dxa"/>
            <w:tcBorders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187,2</w:t>
            </w:r>
          </w:p>
        </w:tc>
      </w:tr>
      <w:tr>
        <w:trPr>
          <w:trHeight w:val="510" w:hRule="atLeast"/>
        </w:trPr>
        <w:tc>
          <w:tcPr>
            <w:tcW w:w="10" w:type="dxa"/>
            <w:tcBorders/>
          </w:tcPr>
          <w:p>
            <w:pPr>
              <w:pStyle w:val="Normal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</w:r>
          </w:p>
        </w:tc>
        <w:tc>
          <w:tcPr>
            <w:tcW w:w="685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Иные межбюджетные трансферты</w:t>
            </w:r>
          </w:p>
        </w:tc>
        <w:tc>
          <w:tcPr>
            <w:tcW w:w="2007" w:type="dxa"/>
            <w:tcBorders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54 450,2</w:t>
            </w:r>
          </w:p>
        </w:tc>
        <w:tc>
          <w:tcPr>
            <w:tcW w:w="1619" w:type="dxa"/>
            <w:tcBorders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33 272,4</w:t>
            </w:r>
          </w:p>
        </w:tc>
      </w:tr>
      <w:tr>
        <w:trPr>
          <w:trHeight w:val="345" w:hRule="atLeast"/>
        </w:trPr>
        <w:tc>
          <w:tcPr>
            <w:tcW w:w="10" w:type="dxa"/>
            <w:tcBorders/>
          </w:tcPr>
          <w:p>
            <w:pPr>
              <w:pStyle w:val="Normal"/>
              <w:rPr>
                <w:b/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</w:r>
          </w:p>
        </w:tc>
        <w:tc>
          <w:tcPr>
            <w:tcW w:w="68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rPr>
                <w:b/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>ИТОГО ДОХОДОВ:</w:t>
            </w:r>
          </w:p>
        </w:tc>
        <w:tc>
          <w:tcPr>
            <w:tcW w:w="2007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b/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 xml:space="preserve">68 </w:t>
            </w:r>
            <w:r>
              <w:rPr>
                <w:b/>
                <w:sz w:val="26"/>
                <w:szCs w:val="26"/>
              </w:rPr>
              <w:t>776,9</w:t>
            </w:r>
          </w:p>
        </w:tc>
        <w:tc>
          <w:tcPr>
            <w:tcW w:w="1619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b/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>42 204,</w:t>
            </w:r>
            <w:r>
              <w:rPr>
                <w:b/>
                <w:sz w:val="26"/>
                <w:szCs w:val="26"/>
              </w:rPr>
              <w:t>6</w:t>
            </w:r>
          </w:p>
        </w:tc>
      </w:tr>
      <w:tr>
        <w:trPr>
          <w:trHeight w:val="255" w:hRule="atLeast"/>
        </w:trPr>
        <w:tc>
          <w:tcPr>
            <w:tcW w:w="10" w:type="dxa"/>
            <w:tcBorders/>
          </w:tcPr>
          <w:p>
            <w:pPr>
              <w:pStyle w:val="Normal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</w:r>
          </w:p>
        </w:tc>
        <w:tc>
          <w:tcPr>
            <w:tcW w:w="685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РАСХОДЫ:</w:t>
            </w:r>
          </w:p>
        </w:tc>
        <w:tc>
          <w:tcPr>
            <w:tcW w:w="2007" w:type="dxa"/>
            <w:tcBorders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</w:r>
          </w:p>
        </w:tc>
        <w:tc>
          <w:tcPr>
            <w:tcW w:w="1619" w:type="dxa"/>
            <w:tcBorders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</w:r>
          </w:p>
        </w:tc>
      </w:tr>
      <w:tr>
        <w:trPr>
          <w:trHeight w:val="450" w:hRule="atLeast"/>
        </w:trPr>
        <w:tc>
          <w:tcPr>
            <w:tcW w:w="10" w:type="dxa"/>
            <w:tcBorders/>
          </w:tcPr>
          <w:p>
            <w:pPr>
              <w:pStyle w:val="Normal"/>
              <w:rPr>
                <w:b/>
                <w:i/>
                <w:i/>
                <w:iCs/>
                <w:sz w:val="28"/>
                <w:szCs w:val="28"/>
              </w:rPr>
            </w:pPr>
            <w:r>
              <w:rPr>
                <w:b/>
                <w:i/>
                <w:iCs/>
                <w:sz w:val="28"/>
                <w:szCs w:val="28"/>
              </w:rPr>
            </w:r>
          </w:p>
        </w:tc>
        <w:tc>
          <w:tcPr>
            <w:tcW w:w="685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rPr>
                <w:b/>
                <w:i/>
                <w:i/>
                <w:iCs/>
                <w:sz w:val="28"/>
                <w:szCs w:val="28"/>
              </w:rPr>
            </w:pPr>
            <w:r>
              <w:rPr>
                <w:b/>
                <w:i/>
                <w:iCs/>
                <w:sz w:val="28"/>
                <w:szCs w:val="28"/>
              </w:rPr>
              <w:t>ОБЩЕГОСУДАРСТВЕННЫЕ ВОПРОСЫ</w:t>
            </w:r>
          </w:p>
        </w:tc>
        <w:tc>
          <w:tcPr>
            <w:tcW w:w="2007" w:type="dxa"/>
            <w:tcBorders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6 3</w:t>
            </w:r>
            <w:r>
              <w:rPr>
                <w:b/>
                <w:sz w:val="28"/>
                <w:szCs w:val="28"/>
              </w:rPr>
              <w:t>43,5</w:t>
            </w:r>
          </w:p>
        </w:tc>
        <w:tc>
          <w:tcPr>
            <w:tcW w:w="1619" w:type="dxa"/>
            <w:tcBorders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  </w:t>
            </w:r>
            <w:r>
              <w:rPr>
                <w:b/>
                <w:sz w:val="28"/>
                <w:szCs w:val="28"/>
              </w:rPr>
              <w:t>4 429,7</w:t>
            </w:r>
          </w:p>
        </w:tc>
      </w:tr>
      <w:tr>
        <w:trPr>
          <w:trHeight w:val="1350" w:hRule="atLeast"/>
        </w:trPr>
        <w:tc>
          <w:tcPr>
            <w:tcW w:w="10" w:type="dxa"/>
            <w:tcBorders/>
          </w:tcPr>
          <w:p>
            <w:pPr>
              <w:pStyle w:val="Normal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</w:r>
          </w:p>
        </w:tc>
        <w:tc>
          <w:tcPr>
            <w:tcW w:w="685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2007" w:type="dxa"/>
            <w:tcBorders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6 239,4</w:t>
            </w:r>
          </w:p>
        </w:tc>
        <w:tc>
          <w:tcPr>
            <w:tcW w:w="1619" w:type="dxa"/>
            <w:tcBorders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4338,8</w:t>
            </w:r>
          </w:p>
        </w:tc>
      </w:tr>
      <w:tr>
        <w:trPr>
          <w:trHeight w:val="435" w:hRule="atLeast"/>
        </w:trPr>
        <w:tc>
          <w:tcPr>
            <w:tcW w:w="10" w:type="dxa"/>
            <w:tcBorders/>
          </w:tcPr>
          <w:p>
            <w:pPr>
              <w:pStyle w:val="Normal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</w:r>
          </w:p>
        </w:tc>
        <w:tc>
          <w:tcPr>
            <w:tcW w:w="685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Другие общегосударственные вопросы</w:t>
            </w:r>
          </w:p>
        </w:tc>
        <w:tc>
          <w:tcPr>
            <w:tcW w:w="2007" w:type="dxa"/>
            <w:tcBorders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104,1</w:t>
            </w:r>
          </w:p>
        </w:tc>
        <w:tc>
          <w:tcPr>
            <w:tcW w:w="1619" w:type="dxa"/>
            <w:tcBorders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       </w:t>
            </w:r>
            <w:r>
              <w:rPr>
                <w:sz w:val="26"/>
                <w:szCs w:val="26"/>
              </w:rPr>
              <w:t>90,9</w:t>
            </w:r>
          </w:p>
        </w:tc>
      </w:tr>
      <w:tr>
        <w:trPr>
          <w:trHeight w:val="360" w:hRule="atLeast"/>
        </w:trPr>
        <w:tc>
          <w:tcPr>
            <w:tcW w:w="10" w:type="dxa"/>
            <w:tcBorders/>
          </w:tcPr>
          <w:p>
            <w:pPr>
              <w:pStyle w:val="Normal"/>
              <w:rPr>
                <w:b/>
                <w:i/>
                <w:i/>
                <w:iCs/>
                <w:sz w:val="28"/>
                <w:szCs w:val="28"/>
              </w:rPr>
            </w:pPr>
            <w:r>
              <w:rPr>
                <w:b/>
                <w:i/>
                <w:iCs/>
                <w:sz w:val="28"/>
                <w:szCs w:val="28"/>
              </w:rPr>
            </w:r>
          </w:p>
        </w:tc>
        <w:tc>
          <w:tcPr>
            <w:tcW w:w="685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rPr>
                <w:b/>
                <w:i/>
                <w:i/>
                <w:iCs/>
                <w:sz w:val="28"/>
                <w:szCs w:val="28"/>
              </w:rPr>
            </w:pPr>
            <w:r>
              <w:rPr>
                <w:b/>
                <w:i/>
                <w:iCs/>
                <w:sz w:val="28"/>
                <w:szCs w:val="28"/>
              </w:rPr>
              <w:t>НАЦИОНАЛЬНАЯ ОБОРОНА</w:t>
            </w:r>
          </w:p>
        </w:tc>
        <w:tc>
          <w:tcPr>
            <w:tcW w:w="2007" w:type="dxa"/>
            <w:tcBorders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35</w:t>
            </w:r>
            <w:r>
              <w:rPr>
                <w:b/>
                <w:sz w:val="28"/>
                <w:szCs w:val="28"/>
              </w:rPr>
              <w:t>3,1</w:t>
            </w:r>
          </w:p>
        </w:tc>
        <w:tc>
          <w:tcPr>
            <w:tcW w:w="1619" w:type="dxa"/>
            <w:tcBorders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       </w:t>
            </w:r>
            <w:r>
              <w:rPr>
                <w:b/>
                <w:sz w:val="28"/>
                <w:szCs w:val="28"/>
              </w:rPr>
              <w:t>1</w:t>
            </w:r>
            <w:r>
              <w:rPr>
                <w:b/>
                <w:sz w:val="28"/>
                <w:szCs w:val="28"/>
              </w:rPr>
              <w:t>87,2</w:t>
            </w:r>
          </w:p>
        </w:tc>
      </w:tr>
      <w:tr>
        <w:trPr>
          <w:trHeight w:val="495" w:hRule="atLeast"/>
        </w:trPr>
        <w:tc>
          <w:tcPr>
            <w:tcW w:w="10" w:type="dxa"/>
            <w:tcBorders/>
          </w:tcPr>
          <w:p>
            <w:pPr>
              <w:pStyle w:val="Normal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</w:r>
          </w:p>
        </w:tc>
        <w:tc>
          <w:tcPr>
            <w:tcW w:w="685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Мобилизационная и вневойсковая подготовка</w:t>
            </w:r>
          </w:p>
        </w:tc>
        <w:tc>
          <w:tcPr>
            <w:tcW w:w="2007" w:type="dxa"/>
            <w:tcBorders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35</w:t>
            </w:r>
            <w:r>
              <w:rPr>
                <w:sz w:val="26"/>
                <w:szCs w:val="26"/>
              </w:rPr>
              <w:t>3,1</w:t>
            </w:r>
          </w:p>
        </w:tc>
        <w:tc>
          <w:tcPr>
            <w:tcW w:w="1619" w:type="dxa"/>
            <w:tcBorders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        </w:t>
            </w:r>
            <w:r>
              <w:rPr>
                <w:sz w:val="26"/>
                <w:szCs w:val="26"/>
              </w:rPr>
              <w:t>1</w:t>
            </w:r>
            <w:r>
              <w:rPr>
                <w:sz w:val="26"/>
                <w:szCs w:val="26"/>
              </w:rPr>
              <w:t>87,2</w:t>
            </w:r>
          </w:p>
        </w:tc>
      </w:tr>
      <w:tr>
        <w:trPr>
          <w:trHeight w:val="750" w:hRule="atLeast"/>
        </w:trPr>
        <w:tc>
          <w:tcPr>
            <w:tcW w:w="10" w:type="dxa"/>
            <w:tcBorders/>
          </w:tcPr>
          <w:p>
            <w:pPr>
              <w:pStyle w:val="Normal"/>
              <w:rPr>
                <w:b/>
                <w:i/>
                <w:i/>
                <w:iCs/>
                <w:sz w:val="28"/>
                <w:szCs w:val="28"/>
              </w:rPr>
            </w:pPr>
            <w:r>
              <w:rPr>
                <w:b/>
                <w:i/>
                <w:iCs/>
                <w:sz w:val="28"/>
                <w:szCs w:val="28"/>
              </w:rPr>
            </w:r>
          </w:p>
        </w:tc>
        <w:tc>
          <w:tcPr>
            <w:tcW w:w="685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rPr>
                <w:b/>
                <w:i/>
                <w:i/>
                <w:iCs/>
                <w:sz w:val="28"/>
                <w:szCs w:val="28"/>
              </w:rPr>
            </w:pPr>
            <w:r>
              <w:rPr>
                <w:b/>
                <w:i/>
                <w:iCs/>
                <w:sz w:val="28"/>
                <w:szCs w:val="28"/>
              </w:rPr>
              <w:t>НАЦИОНАЛЬНАЯ БЕЗОПАСНОСТЬ И ПРАВООХРАНИТЕЛЬНАЯ ДЕЯТЕЛЬНОСТЬ</w:t>
            </w:r>
          </w:p>
        </w:tc>
        <w:tc>
          <w:tcPr>
            <w:tcW w:w="2007" w:type="dxa"/>
            <w:tcBorders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16,0</w:t>
            </w:r>
          </w:p>
        </w:tc>
        <w:tc>
          <w:tcPr>
            <w:tcW w:w="1619" w:type="dxa"/>
            <w:tcBorders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6,5</w:t>
            </w:r>
          </w:p>
        </w:tc>
      </w:tr>
      <w:tr>
        <w:trPr>
          <w:trHeight w:val="598" w:hRule="atLeast"/>
        </w:trPr>
        <w:tc>
          <w:tcPr>
            <w:tcW w:w="10" w:type="dxa"/>
            <w:tcBorders/>
          </w:tcPr>
          <w:p>
            <w:pPr>
              <w:pStyle w:val="Normal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</w:r>
          </w:p>
        </w:tc>
        <w:tc>
          <w:tcPr>
            <w:tcW w:w="685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2007" w:type="dxa"/>
            <w:tcBorders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16,0</w:t>
            </w:r>
          </w:p>
        </w:tc>
        <w:tc>
          <w:tcPr>
            <w:tcW w:w="1619" w:type="dxa"/>
            <w:tcBorders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6,5</w:t>
            </w:r>
          </w:p>
        </w:tc>
      </w:tr>
      <w:tr>
        <w:trPr>
          <w:trHeight w:val="510" w:hRule="atLeast"/>
        </w:trPr>
        <w:tc>
          <w:tcPr>
            <w:tcW w:w="10" w:type="dxa"/>
            <w:tcBorders/>
          </w:tcPr>
          <w:p>
            <w:pPr>
              <w:pStyle w:val="Normal"/>
              <w:rPr>
                <w:b/>
                <w:i/>
                <w:i/>
                <w:iCs/>
                <w:sz w:val="28"/>
                <w:szCs w:val="28"/>
              </w:rPr>
            </w:pPr>
            <w:r>
              <w:rPr>
                <w:b/>
                <w:i/>
                <w:iCs/>
                <w:sz w:val="28"/>
                <w:szCs w:val="28"/>
              </w:rPr>
            </w:r>
          </w:p>
        </w:tc>
        <w:tc>
          <w:tcPr>
            <w:tcW w:w="685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rPr>
                <w:b/>
                <w:i/>
                <w:i/>
                <w:iCs/>
                <w:sz w:val="28"/>
                <w:szCs w:val="28"/>
              </w:rPr>
            </w:pPr>
            <w:r>
              <w:rPr>
                <w:b/>
                <w:i/>
                <w:iCs/>
                <w:sz w:val="28"/>
                <w:szCs w:val="28"/>
              </w:rPr>
              <w:t>ЖИЛИЩНО-КОММУНАЛЬНОЕ ХОЗЯЙСТВО</w:t>
            </w:r>
          </w:p>
        </w:tc>
        <w:tc>
          <w:tcPr>
            <w:tcW w:w="2007" w:type="dxa"/>
            <w:tcBorders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       </w:t>
            </w:r>
            <w:r>
              <w:rPr>
                <w:b/>
                <w:sz w:val="28"/>
                <w:szCs w:val="28"/>
              </w:rPr>
              <w:t>5 9</w:t>
            </w:r>
            <w:r>
              <w:rPr>
                <w:b/>
                <w:sz w:val="28"/>
                <w:szCs w:val="28"/>
              </w:rPr>
              <w:t>64,9</w:t>
            </w:r>
          </w:p>
        </w:tc>
        <w:tc>
          <w:tcPr>
            <w:tcW w:w="1619" w:type="dxa"/>
            <w:tcBorders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3279,3</w:t>
            </w:r>
          </w:p>
        </w:tc>
      </w:tr>
      <w:tr>
        <w:trPr>
          <w:trHeight w:val="270" w:hRule="atLeast"/>
        </w:trPr>
        <w:tc>
          <w:tcPr>
            <w:tcW w:w="10" w:type="dxa"/>
            <w:tcBorders/>
          </w:tcPr>
          <w:p>
            <w:pPr>
              <w:pStyle w:val="Normal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</w:r>
          </w:p>
        </w:tc>
        <w:tc>
          <w:tcPr>
            <w:tcW w:w="685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Жилищное хозяйство</w:t>
            </w:r>
          </w:p>
        </w:tc>
        <w:tc>
          <w:tcPr>
            <w:tcW w:w="2007" w:type="dxa"/>
            <w:tcBorders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         </w:t>
            </w:r>
            <w:r>
              <w:rPr>
                <w:sz w:val="26"/>
                <w:szCs w:val="26"/>
              </w:rPr>
              <w:t>5082,3</w:t>
            </w:r>
          </w:p>
        </w:tc>
        <w:tc>
          <w:tcPr>
            <w:tcW w:w="1619" w:type="dxa"/>
            <w:tcBorders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2892,1</w:t>
            </w:r>
          </w:p>
        </w:tc>
      </w:tr>
      <w:tr>
        <w:trPr>
          <w:trHeight w:val="270" w:hRule="atLeast"/>
        </w:trPr>
        <w:tc>
          <w:tcPr>
            <w:tcW w:w="10" w:type="dxa"/>
            <w:tcBorders/>
          </w:tcPr>
          <w:p>
            <w:pPr>
              <w:pStyle w:val="Normal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</w:r>
          </w:p>
        </w:tc>
        <w:tc>
          <w:tcPr>
            <w:tcW w:w="685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Коммунальное хозяйство</w:t>
            </w:r>
          </w:p>
        </w:tc>
        <w:tc>
          <w:tcPr>
            <w:tcW w:w="2007" w:type="dxa"/>
            <w:tcBorders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44,2</w:t>
            </w:r>
          </w:p>
        </w:tc>
        <w:tc>
          <w:tcPr>
            <w:tcW w:w="1619" w:type="dxa"/>
            <w:tcBorders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0,0</w:t>
            </w:r>
          </w:p>
        </w:tc>
      </w:tr>
      <w:tr>
        <w:trPr>
          <w:trHeight w:val="300" w:hRule="atLeast"/>
        </w:trPr>
        <w:tc>
          <w:tcPr>
            <w:tcW w:w="10" w:type="dxa"/>
            <w:tcBorders/>
          </w:tcPr>
          <w:p>
            <w:pPr>
              <w:pStyle w:val="Normal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</w:r>
          </w:p>
        </w:tc>
        <w:tc>
          <w:tcPr>
            <w:tcW w:w="685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Благоустройство</w:t>
            </w:r>
          </w:p>
        </w:tc>
        <w:tc>
          <w:tcPr>
            <w:tcW w:w="2007" w:type="dxa"/>
            <w:tcBorders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8</w:t>
            </w:r>
            <w:r>
              <w:rPr>
                <w:sz w:val="26"/>
                <w:szCs w:val="26"/>
              </w:rPr>
              <w:t>38,4</w:t>
            </w:r>
          </w:p>
        </w:tc>
        <w:tc>
          <w:tcPr>
            <w:tcW w:w="1619" w:type="dxa"/>
            <w:tcBorders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       </w:t>
            </w:r>
            <w:r>
              <w:rPr>
                <w:sz w:val="26"/>
                <w:szCs w:val="26"/>
              </w:rPr>
              <w:t>3</w:t>
            </w:r>
            <w:r>
              <w:rPr>
                <w:sz w:val="26"/>
                <w:szCs w:val="26"/>
              </w:rPr>
              <w:t>87,3</w:t>
            </w:r>
          </w:p>
        </w:tc>
      </w:tr>
      <w:tr>
        <w:trPr>
          <w:trHeight w:val="300" w:hRule="atLeast"/>
        </w:trPr>
        <w:tc>
          <w:tcPr>
            <w:tcW w:w="10" w:type="dxa"/>
            <w:tcBorders/>
          </w:tcPr>
          <w:p>
            <w:pPr>
              <w:pStyle w:val="Normal"/>
              <w:rPr>
                <w:b/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</w:r>
          </w:p>
        </w:tc>
        <w:tc>
          <w:tcPr>
            <w:tcW w:w="685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rPr>
                <w:b/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>ОХРАНА ОКРУЖАЮЩЕЙ СРЕДЫ</w:t>
            </w:r>
          </w:p>
        </w:tc>
        <w:tc>
          <w:tcPr>
            <w:tcW w:w="2007" w:type="dxa"/>
            <w:tcBorders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b/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>0,0</w:t>
            </w:r>
          </w:p>
        </w:tc>
        <w:tc>
          <w:tcPr>
            <w:tcW w:w="1619" w:type="dxa"/>
            <w:tcBorders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b/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>0,0</w:t>
            </w:r>
          </w:p>
        </w:tc>
      </w:tr>
      <w:tr>
        <w:trPr>
          <w:trHeight w:val="300" w:hRule="atLeast"/>
        </w:trPr>
        <w:tc>
          <w:tcPr>
            <w:tcW w:w="10" w:type="dxa"/>
            <w:tcBorders/>
          </w:tcPr>
          <w:p>
            <w:pPr>
              <w:pStyle w:val="Normal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</w:r>
          </w:p>
        </w:tc>
        <w:tc>
          <w:tcPr>
            <w:tcW w:w="685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Другие вопросы в области охраны окружающей среды</w:t>
            </w:r>
          </w:p>
        </w:tc>
        <w:tc>
          <w:tcPr>
            <w:tcW w:w="2007" w:type="dxa"/>
            <w:tcBorders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0,0</w:t>
            </w:r>
          </w:p>
        </w:tc>
        <w:tc>
          <w:tcPr>
            <w:tcW w:w="1619" w:type="dxa"/>
            <w:tcBorders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0,0</w:t>
            </w:r>
          </w:p>
        </w:tc>
      </w:tr>
      <w:tr>
        <w:trPr>
          <w:trHeight w:val="300" w:hRule="atLeast"/>
        </w:trPr>
        <w:tc>
          <w:tcPr>
            <w:tcW w:w="10" w:type="dxa"/>
            <w:tcBorders/>
          </w:tcPr>
          <w:p>
            <w:pPr>
              <w:pStyle w:val="Normal"/>
              <w:rPr>
                <w:b/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</w:r>
          </w:p>
        </w:tc>
        <w:tc>
          <w:tcPr>
            <w:tcW w:w="685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rPr>
                <w:b/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>ОБРАЗОВАНИЕ</w:t>
            </w:r>
          </w:p>
        </w:tc>
        <w:tc>
          <w:tcPr>
            <w:tcW w:w="2007" w:type="dxa"/>
            <w:tcBorders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b/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>15,0</w:t>
            </w:r>
          </w:p>
        </w:tc>
        <w:tc>
          <w:tcPr>
            <w:tcW w:w="1619" w:type="dxa"/>
            <w:tcBorders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b/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>11,0</w:t>
            </w:r>
          </w:p>
        </w:tc>
      </w:tr>
      <w:tr>
        <w:trPr>
          <w:trHeight w:val="300" w:hRule="atLeast"/>
        </w:trPr>
        <w:tc>
          <w:tcPr>
            <w:tcW w:w="10" w:type="dxa"/>
            <w:tcBorders/>
          </w:tcPr>
          <w:p>
            <w:pPr>
              <w:pStyle w:val="Normal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</w:r>
          </w:p>
        </w:tc>
        <w:tc>
          <w:tcPr>
            <w:tcW w:w="685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Профессиональная подготовка, переподготовка и повышение квалификации</w:t>
            </w:r>
          </w:p>
        </w:tc>
        <w:tc>
          <w:tcPr>
            <w:tcW w:w="2007" w:type="dxa"/>
            <w:tcBorders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15,0</w:t>
            </w:r>
          </w:p>
        </w:tc>
        <w:tc>
          <w:tcPr>
            <w:tcW w:w="1619" w:type="dxa"/>
            <w:tcBorders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11,0</w:t>
            </w:r>
          </w:p>
        </w:tc>
      </w:tr>
      <w:tr>
        <w:trPr>
          <w:trHeight w:val="240" w:hRule="atLeast"/>
        </w:trPr>
        <w:tc>
          <w:tcPr>
            <w:tcW w:w="10" w:type="dxa"/>
            <w:tcBorders/>
          </w:tcPr>
          <w:p>
            <w:pPr>
              <w:pStyle w:val="Normal"/>
              <w:rPr>
                <w:b/>
                <w:i/>
                <w:i/>
                <w:iCs/>
                <w:sz w:val="28"/>
                <w:szCs w:val="28"/>
              </w:rPr>
            </w:pPr>
            <w:r>
              <w:rPr>
                <w:b/>
                <w:i/>
                <w:iCs/>
                <w:sz w:val="28"/>
                <w:szCs w:val="28"/>
              </w:rPr>
            </w:r>
          </w:p>
        </w:tc>
        <w:tc>
          <w:tcPr>
            <w:tcW w:w="685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rPr>
                <w:b/>
                <w:i/>
                <w:i/>
                <w:iCs/>
                <w:sz w:val="28"/>
                <w:szCs w:val="28"/>
              </w:rPr>
            </w:pPr>
            <w:r>
              <w:rPr>
                <w:b/>
                <w:i/>
                <w:iCs/>
                <w:sz w:val="28"/>
                <w:szCs w:val="28"/>
              </w:rPr>
              <w:t>КУЛЬТУРА И КИНЕМАТОГРАФИЯ</w:t>
            </w:r>
          </w:p>
        </w:tc>
        <w:tc>
          <w:tcPr>
            <w:tcW w:w="2007" w:type="dxa"/>
            <w:tcBorders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55 989,3</w:t>
            </w:r>
          </w:p>
        </w:tc>
        <w:tc>
          <w:tcPr>
            <w:tcW w:w="1619" w:type="dxa"/>
            <w:tcBorders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3</w:t>
            </w:r>
            <w:r>
              <w:rPr>
                <w:b/>
                <w:sz w:val="28"/>
                <w:szCs w:val="28"/>
              </w:rPr>
              <w:t>4 217,8</w:t>
            </w:r>
          </w:p>
        </w:tc>
      </w:tr>
      <w:tr>
        <w:trPr>
          <w:trHeight w:val="285" w:hRule="atLeast"/>
        </w:trPr>
        <w:tc>
          <w:tcPr>
            <w:tcW w:w="10" w:type="dxa"/>
            <w:tcBorders/>
          </w:tcPr>
          <w:p>
            <w:pPr>
              <w:pStyle w:val="Normal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</w:r>
          </w:p>
        </w:tc>
        <w:tc>
          <w:tcPr>
            <w:tcW w:w="685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Культура</w:t>
            </w:r>
          </w:p>
        </w:tc>
        <w:tc>
          <w:tcPr>
            <w:tcW w:w="2007" w:type="dxa"/>
            <w:tcBorders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55 989,3</w:t>
            </w:r>
          </w:p>
        </w:tc>
        <w:tc>
          <w:tcPr>
            <w:tcW w:w="1619" w:type="dxa"/>
            <w:tcBorders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3</w:t>
            </w:r>
            <w:r>
              <w:rPr>
                <w:sz w:val="26"/>
                <w:szCs w:val="26"/>
              </w:rPr>
              <w:t>4 217,8</w:t>
            </w:r>
          </w:p>
        </w:tc>
      </w:tr>
      <w:tr>
        <w:trPr>
          <w:trHeight w:val="263" w:hRule="atLeast"/>
        </w:trPr>
        <w:tc>
          <w:tcPr>
            <w:tcW w:w="10" w:type="dxa"/>
            <w:tcBorders/>
          </w:tcPr>
          <w:p>
            <w:pPr>
              <w:pStyle w:val="Normal"/>
              <w:rPr>
                <w:b/>
                <w:i/>
                <w:i/>
                <w:iCs/>
                <w:sz w:val="28"/>
                <w:szCs w:val="28"/>
              </w:rPr>
            </w:pPr>
            <w:r>
              <w:rPr>
                <w:b/>
                <w:i/>
                <w:iCs/>
                <w:sz w:val="28"/>
                <w:szCs w:val="28"/>
              </w:rPr>
            </w:r>
          </w:p>
        </w:tc>
        <w:tc>
          <w:tcPr>
            <w:tcW w:w="685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rPr>
                <w:b/>
                <w:i/>
                <w:i/>
                <w:iCs/>
                <w:sz w:val="28"/>
                <w:szCs w:val="28"/>
              </w:rPr>
            </w:pPr>
            <w:r>
              <w:rPr>
                <w:b/>
                <w:i/>
                <w:iCs/>
                <w:sz w:val="28"/>
                <w:szCs w:val="28"/>
              </w:rPr>
              <w:t>СОЦИАЛЬНАЯ ПОЛИТИКА</w:t>
            </w:r>
          </w:p>
        </w:tc>
        <w:tc>
          <w:tcPr>
            <w:tcW w:w="2007" w:type="dxa"/>
            <w:tcBorders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90,1</w:t>
            </w:r>
          </w:p>
        </w:tc>
        <w:tc>
          <w:tcPr>
            <w:tcW w:w="1619" w:type="dxa"/>
            <w:tcBorders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73,2</w:t>
            </w:r>
          </w:p>
        </w:tc>
      </w:tr>
      <w:tr>
        <w:trPr>
          <w:trHeight w:val="315" w:hRule="atLeast"/>
        </w:trPr>
        <w:tc>
          <w:tcPr>
            <w:tcW w:w="10" w:type="dxa"/>
            <w:tcBorders/>
          </w:tcPr>
          <w:p>
            <w:pPr>
              <w:pStyle w:val="Normal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</w:r>
          </w:p>
        </w:tc>
        <w:tc>
          <w:tcPr>
            <w:tcW w:w="685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Пенсионное обеспечение</w:t>
            </w:r>
          </w:p>
        </w:tc>
        <w:tc>
          <w:tcPr>
            <w:tcW w:w="2007" w:type="dxa"/>
            <w:tcBorders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890,1</w:t>
            </w:r>
          </w:p>
        </w:tc>
        <w:tc>
          <w:tcPr>
            <w:tcW w:w="1619" w:type="dxa"/>
            <w:tcBorders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73,2</w:t>
            </w:r>
          </w:p>
        </w:tc>
      </w:tr>
      <w:tr>
        <w:trPr>
          <w:trHeight w:val="315" w:hRule="atLeast"/>
        </w:trPr>
        <w:tc>
          <w:tcPr>
            <w:tcW w:w="10" w:type="dxa"/>
            <w:tcBorders/>
          </w:tcPr>
          <w:p>
            <w:pPr>
              <w:pStyle w:val="Normal"/>
              <w:rPr>
                <w:b/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</w:r>
          </w:p>
        </w:tc>
        <w:tc>
          <w:tcPr>
            <w:tcW w:w="685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rPr>
                <w:b/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>ФИЗИЧЕСКАЯ КУЛЬТУРА И СПОРТ</w:t>
            </w:r>
          </w:p>
        </w:tc>
        <w:tc>
          <w:tcPr>
            <w:tcW w:w="2007" w:type="dxa"/>
            <w:tcBorders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b/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>5,0</w:t>
            </w:r>
          </w:p>
        </w:tc>
        <w:tc>
          <w:tcPr>
            <w:tcW w:w="1619" w:type="dxa"/>
            <w:tcBorders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b/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>0,0</w:t>
            </w:r>
          </w:p>
        </w:tc>
      </w:tr>
      <w:tr>
        <w:trPr>
          <w:trHeight w:val="315" w:hRule="atLeast"/>
        </w:trPr>
        <w:tc>
          <w:tcPr>
            <w:tcW w:w="10" w:type="dxa"/>
            <w:tcBorders/>
          </w:tcPr>
          <w:p>
            <w:pPr>
              <w:pStyle w:val="Normal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</w:r>
          </w:p>
        </w:tc>
        <w:tc>
          <w:tcPr>
            <w:tcW w:w="685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Мероприятия в области физической культуры и спорта</w:t>
            </w:r>
          </w:p>
        </w:tc>
        <w:tc>
          <w:tcPr>
            <w:tcW w:w="2007" w:type="dxa"/>
            <w:tcBorders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5,0</w:t>
            </w:r>
          </w:p>
        </w:tc>
        <w:tc>
          <w:tcPr>
            <w:tcW w:w="1619" w:type="dxa"/>
            <w:tcBorders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0,0</w:t>
            </w:r>
          </w:p>
        </w:tc>
      </w:tr>
      <w:tr>
        <w:trPr>
          <w:trHeight w:val="195" w:hRule="atLeast"/>
        </w:trPr>
        <w:tc>
          <w:tcPr>
            <w:tcW w:w="10" w:type="dxa"/>
            <w:tcBorders/>
          </w:tcPr>
          <w:p>
            <w:pPr>
              <w:pStyle w:val="Normal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</w:r>
          </w:p>
        </w:tc>
        <w:tc>
          <w:tcPr>
            <w:tcW w:w="685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ИТОГО РАСХОДОВ:</w:t>
            </w:r>
          </w:p>
        </w:tc>
        <w:tc>
          <w:tcPr>
            <w:tcW w:w="2007" w:type="dxa"/>
            <w:tcBorders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68 </w:t>
            </w:r>
            <w:r>
              <w:rPr>
                <w:b/>
                <w:sz w:val="28"/>
                <w:szCs w:val="28"/>
              </w:rPr>
              <w:t>776,9</w:t>
            </w:r>
          </w:p>
        </w:tc>
        <w:tc>
          <w:tcPr>
            <w:tcW w:w="1619" w:type="dxa"/>
            <w:tcBorders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42 204,6</w:t>
            </w:r>
          </w:p>
        </w:tc>
      </w:tr>
      <w:tr>
        <w:trPr>
          <w:trHeight w:val="254" w:hRule="atLeast"/>
        </w:trPr>
        <w:tc>
          <w:tcPr>
            <w:tcW w:w="686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30" w:type="dxa"/>
              <w:right w:w="30" w:type="dxa"/>
            </w:tcMar>
          </w:tcPr>
          <w:p>
            <w:pPr>
              <w:pStyle w:val="Normal"/>
              <w:jc w:val="both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ДЕФИЦИТ (-), ПРОФИЦИТ (+)</w:t>
            </w:r>
          </w:p>
        </w:tc>
        <w:tc>
          <w:tcPr>
            <w:tcW w:w="20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30" w:type="dxa"/>
              <w:right w:w="30" w:type="dxa"/>
            </w:tcMar>
          </w:tcPr>
          <w:p>
            <w:pPr>
              <w:pStyle w:val="Normal"/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232,9</w:t>
            </w:r>
          </w:p>
        </w:tc>
        <w:tc>
          <w:tcPr>
            <w:tcW w:w="16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30" w:type="dxa"/>
              <w:right w:w="30" w:type="dxa"/>
            </w:tcMar>
          </w:tcPr>
          <w:p>
            <w:pPr>
              <w:pStyle w:val="Normal"/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>
              <w:rPr>
                <w:b/>
                <w:bCs/>
                <w:color w:val="000000"/>
                <w:sz w:val="28"/>
                <w:szCs w:val="28"/>
              </w:rPr>
              <w:t>2508,4</w:t>
            </w:r>
          </w:p>
        </w:tc>
      </w:tr>
      <w:tr>
        <w:trPr>
          <w:trHeight w:val="254" w:hRule="atLeast"/>
        </w:trPr>
        <w:tc>
          <w:tcPr>
            <w:tcW w:w="686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30" w:type="dxa"/>
              <w:right w:w="30" w:type="dxa"/>
            </w:tcMar>
          </w:tcPr>
          <w:p>
            <w:pPr>
              <w:pStyle w:val="Normal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Источники финансирования дефицитов бюджетов, всего</w:t>
            </w:r>
          </w:p>
        </w:tc>
        <w:tc>
          <w:tcPr>
            <w:tcW w:w="20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30" w:type="dxa"/>
              <w:right w:w="30" w:type="dxa"/>
            </w:tcMar>
          </w:tcPr>
          <w:p>
            <w:pPr>
              <w:pStyle w:val="Normal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-232,9</w:t>
            </w:r>
          </w:p>
        </w:tc>
        <w:tc>
          <w:tcPr>
            <w:tcW w:w="16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30" w:type="dxa"/>
              <w:right w:w="30" w:type="dxa"/>
            </w:tcMar>
          </w:tcPr>
          <w:p>
            <w:pPr>
              <w:pStyle w:val="Normal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-</w:t>
            </w:r>
            <w:r>
              <w:rPr>
                <w:color w:val="000000"/>
                <w:sz w:val="28"/>
                <w:szCs w:val="28"/>
              </w:rPr>
              <w:t>2508,4</w:t>
            </w:r>
          </w:p>
        </w:tc>
      </w:tr>
      <w:tr>
        <w:trPr>
          <w:trHeight w:val="254" w:hRule="atLeast"/>
        </w:trPr>
        <w:tc>
          <w:tcPr>
            <w:tcW w:w="686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30" w:type="dxa"/>
              <w:right w:w="30" w:type="dxa"/>
            </w:tcMar>
          </w:tcPr>
          <w:p>
            <w:pPr>
              <w:pStyle w:val="Normal"/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ИСТОЧНИКИ ВНУТРЕННЕГО ФИНАНСИРОВАНИЯ ДЕФИЦИТОВ БЮДЖЕТОВ</w:t>
            </w:r>
          </w:p>
        </w:tc>
        <w:tc>
          <w:tcPr>
            <w:tcW w:w="20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30" w:type="dxa"/>
              <w:right w:w="30" w:type="dxa"/>
            </w:tcMar>
          </w:tcPr>
          <w:p>
            <w:pPr>
              <w:pStyle w:val="Normal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-232,9</w:t>
            </w:r>
          </w:p>
        </w:tc>
        <w:tc>
          <w:tcPr>
            <w:tcW w:w="16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30" w:type="dxa"/>
              <w:right w:w="30" w:type="dxa"/>
            </w:tcMar>
          </w:tcPr>
          <w:p>
            <w:pPr>
              <w:pStyle w:val="Normal"/>
              <w:jc w:val="center"/>
              <w:rPr>
                <w:b/>
                <w:color w:val="000000"/>
                <w:sz w:val="28"/>
                <w:szCs w:val="28"/>
              </w:rPr>
            </w:pPr>
            <w:r>
              <w:rPr>
                <w:b/>
                <w:color w:val="000000"/>
                <w:sz w:val="28"/>
                <w:szCs w:val="28"/>
              </w:rPr>
              <w:t>-</w:t>
            </w:r>
            <w:r>
              <w:rPr>
                <w:b/>
                <w:color w:val="000000"/>
                <w:sz w:val="28"/>
                <w:szCs w:val="28"/>
              </w:rPr>
              <w:t>2508,4</w:t>
            </w:r>
          </w:p>
          <w:p>
            <w:pPr>
              <w:pStyle w:val="Normal"/>
              <w:jc w:val="center"/>
              <w:rPr>
                <w:b/>
                <w:color w:val="000000"/>
                <w:sz w:val="28"/>
                <w:szCs w:val="28"/>
              </w:rPr>
            </w:pPr>
            <w:r>
              <w:rPr>
                <w:b/>
                <w:color w:val="000000"/>
                <w:sz w:val="28"/>
                <w:szCs w:val="28"/>
              </w:rPr>
            </w:r>
          </w:p>
        </w:tc>
      </w:tr>
      <w:tr>
        <w:trPr>
          <w:trHeight w:val="286" w:hRule="atLeast"/>
        </w:trPr>
        <w:tc>
          <w:tcPr>
            <w:tcW w:w="686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30" w:type="dxa"/>
              <w:right w:w="30" w:type="dxa"/>
            </w:tcMar>
          </w:tcPr>
          <w:p>
            <w:pPr>
              <w:pStyle w:val="Normal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Изменение остатков средств</w:t>
            </w:r>
          </w:p>
        </w:tc>
        <w:tc>
          <w:tcPr>
            <w:tcW w:w="20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30" w:type="dxa"/>
              <w:right w:w="30" w:type="dxa"/>
            </w:tcMar>
          </w:tcPr>
          <w:p>
            <w:pPr>
              <w:pStyle w:val="Normal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232,9</w:t>
            </w:r>
          </w:p>
        </w:tc>
        <w:tc>
          <w:tcPr>
            <w:tcW w:w="16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30" w:type="dxa"/>
              <w:right w:w="30" w:type="dxa"/>
            </w:tcMar>
          </w:tcPr>
          <w:p>
            <w:pPr>
              <w:pStyle w:val="Normal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- </w:t>
            </w:r>
            <w:r>
              <w:rPr>
                <w:color w:val="000000"/>
                <w:sz w:val="28"/>
                <w:szCs w:val="28"/>
              </w:rPr>
              <w:t>2508,4</w:t>
            </w:r>
          </w:p>
          <w:p>
            <w:pPr>
              <w:pStyle w:val="Normal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</w:r>
          </w:p>
        </w:tc>
      </w:tr>
    </w:tbl>
    <w:p>
      <w:pPr>
        <w:pStyle w:val="Normal"/>
        <w:rPr>
          <w:sz w:val="8"/>
          <w:szCs w:val="20"/>
        </w:rPr>
      </w:pPr>
      <w:r>
        <w:rPr>
          <w:sz w:val="8"/>
          <w:szCs w:val="20"/>
        </w:rPr>
      </w:r>
    </w:p>
    <w:p>
      <w:pPr>
        <w:pStyle w:val="Normal"/>
        <w:jc w:val="both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Normal"/>
        <w:jc w:val="both"/>
        <w:rPr>
          <w:sz w:val="28"/>
          <w:szCs w:val="28"/>
        </w:rPr>
      </w:pPr>
      <w:r>
        <w:rPr>
          <w:sz w:val="28"/>
          <w:szCs w:val="28"/>
        </w:rPr>
        <w:t>Заведующий сектором экономики и финансов                                       М.А.Маврат</w:t>
      </w:r>
      <w:r>
        <w:br w:type="page"/>
      </w:r>
    </w:p>
    <w:p>
      <w:pPr>
        <w:pStyle w:val="Normal"/>
        <w:spacing w:before="0" w:after="0"/>
        <w:jc w:val="right"/>
        <w:rPr>
          <w:sz w:val="28"/>
          <w:szCs w:val="28"/>
        </w:rPr>
      </w:pPr>
      <w:r>
        <w:rPr>
          <w:sz w:val="28"/>
          <w:szCs w:val="28"/>
        </w:rPr>
        <w:t>Приложение № 2</w:t>
      </w:r>
    </w:p>
    <w:p>
      <w:pPr>
        <w:pStyle w:val="ConsPlusNormal"/>
        <w:widowControl/>
        <w:jc w:val="right"/>
        <w:rPr>
          <w:szCs w:val="28"/>
        </w:rPr>
      </w:pPr>
      <w:r>
        <w:rPr>
          <w:szCs w:val="28"/>
        </w:rPr>
        <w:t>к сведениям о ходе исполнения</w:t>
      </w:r>
    </w:p>
    <w:p>
      <w:pPr>
        <w:pStyle w:val="ConsPlusNormal"/>
        <w:jc w:val="right"/>
        <w:rPr/>
      </w:pPr>
      <w:r>
        <w:rPr/>
        <w:t>бюджета поселения</w:t>
      </w:r>
    </w:p>
    <w:p>
      <w:pPr>
        <w:pStyle w:val="1"/>
        <w:tabs>
          <w:tab w:val="clear" w:pos="708"/>
          <w:tab w:val="left" w:pos="469" w:leader="none"/>
          <w:tab w:val="center" w:pos="4816" w:leader="none"/>
        </w:tabs>
        <w:spacing w:lineRule="auto" w:line="240"/>
        <w:ind w:hanging="0" w:left="0"/>
        <w:jc w:val="right"/>
        <w:rPr/>
      </w:pPr>
      <w:r>
        <w:rPr>
          <w:sz w:val="28"/>
          <w:szCs w:val="28"/>
        </w:rPr>
        <w:t xml:space="preserve">за </w:t>
      </w:r>
      <w:r>
        <w:rPr>
          <w:sz w:val="28"/>
          <w:szCs w:val="28"/>
        </w:rPr>
        <w:t>9 месяцев</w:t>
      </w:r>
      <w:r>
        <w:rPr>
          <w:sz w:val="28"/>
          <w:szCs w:val="28"/>
        </w:rPr>
        <w:t xml:space="preserve"> 2024 года</w:t>
      </w:r>
    </w:p>
    <w:p>
      <w:pPr>
        <w:pStyle w:val="Normal"/>
        <w:tabs>
          <w:tab w:val="clear" w:pos="708"/>
          <w:tab w:val="left" w:pos="7650" w:leader="none"/>
        </w:tabs>
        <w:jc w:val="right"/>
        <w:rPr>
          <w:sz w:val="28"/>
          <w:szCs w:val="28"/>
        </w:rPr>
      </w:pPr>
      <w:r>
        <w:rPr>
          <w:sz w:val="28"/>
          <w:szCs w:val="28"/>
        </w:rPr>
        <w:tab/>
      </w:r>
    </w:p>
    <w:p>
      <w:pPr>
        <w:pStyle w:val="Normal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СВЕДЕНИЯ</w:t>
      </w:r>
    </w:p>
    <w:p>
      <w:pPr>
        <w:pStyle w:val="Normal"/>
        <w:jc w:val="center"/>
        <w:rPr>
          <w:sz w:val="28"/>
          <w:szCs w:val="28"/>
        </w:rPr>
      </w:pPr>
      <w:r>
        <w:rPr>
          <w:sz w:val="28"/>
          <w:szCs w:val="28"/>
        </w:rPr>
        <w:t>о численности и денежном содержании работников Администрации Саркеловского сельского поселения и работников муниципальных учреждений Саркеловского сельского поселения Цимлянского района</w:t>
      </w:r>
    </w:p>
    <w:p>
      <w:pPr>
        <w:pStyle w:val="1"/>
        <w:tabs>
          <w:tab w:val="clear" w:pos="708"/>
          <w:tab w:val="left" w:pos="469" w:leader="none"/>
          <w:tab w:val="center" w:pos="4816" w:leader="none"/>
        </w:tabs>
        <w:spacing w:lineRule="auto" w:line="240"/>
        <w:ind w:hanging="0" w:left="0"/>
        <w:jc w:val="center"/>
        <w:rPr/>
      </w:pPr>
      <w:r>
        <w:rPr>
          <w:sz w:val="28"/>
          <w:szCs w:val="28"/>
        </w:rPr>
        <w:t xml:space="preserve">за </w:t>
      </w:r>
      <w:r>
        <w:rPr>
          <w:sz w:val="28"/>
          <w:szCs w:val="28"/>
        </w:rPr>
        <w:t>9 месяцев</w:t>
      </w:r>
      <w:r>
        <w:rPr>
          <w:sz w:val="28"/>
          <w:szCs w:val="28"/>
        </w:rPr>
        <w:t xml:space="preserve"> 2024 года</w:t>
      </w:r>
    </w:p>
    <w:tbl>
      <w:tblPr>
        <w:tblW w:w="9889" w:type="dxa"/>
        <w:jc w:val="left"/>
        <w:tblInd w:w="108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firstRow="1" w:noVBand="0" w:lastRow="0" w:firstColumn="1" w:lastColumn="0" w:noHBand="0" w:val="00a0"/>
      </w:tblPr>
      <w:tblGrid>
        <w:gridCol w:w="675"/>
        <w:gridCol w:w="6523"/>
        <w:gridCol w:w="1132"/>
        <w:gridCol w:w="1558"/>
      </w:tblGrid>
      <w:tr>
        <w:trPr/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center"/>
              <w:rPr>
                <w:lang w:eastAsia="en-US"/>
              </w:rPr>
            </w:pPr>
            <w:r>
              <w:rPr>
                <w:lang w:eastAsia="en-US"/>
              </w:rPr>
              <w:t>№</w:t>
            </w:r>
          </w:p>
          <w:p>
            <w:pPr>
              <w:pStyle w:val="Normal"/>
              <w:jc w:val="center"/>
              <w:rPr>
                <w:lang w:eastAsia="en-US"/>
              </w:rPr>
            </w:pPr>
            <w:r>
              <w:rPr>
                <w:lang w:eastAsia="en-US"/>
              </w:rPr>
              <w:t>п/п</w:t>
            </w:r>
          </w:p>
        </w:tc>
        <w:tc>
          <w:tcPr>
            <w:tcW w:w="65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center"/>
              <w:rPr>
                <w:lang w:eastAsia="en-US"/>
              </w:rPr>
            </w:pPr>
            <w:r>
              <w:rPr>
                <w:lang w:eastAsia="en-US"/>
              </w:rPr>
              <w:t>Наименование учреждения</w:t>
            </w:r>
          </w:p>
        </w:tc>
        <w:tc>
          <w:tcPr>
            <w:tcW w:w="11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center"/>
              <w:rPr>
                <w:lang w:eastAsia="en-US"/>
              </w:rPr>
            </w:pPr>
            <w:r>
              <w:rPr>
                <w:lang w:eastAsia="en-US"/>
              </w:rPr>
              <w:t>Количество</w:t>
            </w:r>
          </w:p>
          <w:p>
            <w:pPr>
              <w:pStyle w:val="Normal"/>
              <w:jc w:val="center"/>
              <w:rPr>
                <w:lang w:eastAsia="en-US"/>
              </w:rPr>
            </w:pPr>
            <w:r>
              <w:rPr>
                <w:lang w:eastAsia="en-US"/>
              </w:rPr>
              <w:t xml:space="preserve"> </w:t>
            </w:r>
            <w:r>
              <w:rPr>
                <w:lang w:eastAsia="en-US"/>
              </w:rPr>
              <w:t>(чел.)</w:t>
            </w:r>
          </w:p>
        </w:tc>
        <w:tc>
          <w:tcPr>
            <w:tcW w:w="1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center"/>
              <w:rPr>
                <w:lang w:eastAsia="en-US"/>
              </w:rPr>
            </w:pPr>
            <w:r>
              <w:rPr>
                <w:lang w:eastAsia="en-US"/>
              </w:rPr>
              <w:t>Расходы на</w:t>
            </w:r>
          </w:p>
          <w:p>
            <w:pPr>
              <w:pStyle w:val="Normal"/>
              <w:jc w:val="center"/>
              <w:rPr>
                <w:lang w:eastAsia="en-US"/>
              </w:rPr>
            </w:pPr>
            <w:r>
              <w:rPr>
                <w:lang w:eastAsia="en-US"/>
              </w:rPr>
              <w:t>денежное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содержание, (тыс. руб.)</w:t>
            </w:r>
          </w:p>
        </w:tc>
      </w:tr>
    </w:tbl>
    <w:p>
      <w:pPr>
        <w:pStyle w:val="Normal"/>
        <w:jc w:val="center"/>
        <w:rPr>
          <w:sz w:val="4"/>
          <w:szCs w:val="4"/>
        </w:rPr>
      </w:pPr>
      <w:r>
        <w:rPr>
          <w:sz w:val="4"/>
          <w:szCs w:val="4"/>
        </w:rPr>
      </w:r>
    </w:p>
    <w:tbl>
      <w:tblPr>
        <w:tblW w:w="9889" w:type="dxa"/>
        <w:jc w:val="left"/>
        <w:tblInd w:w="108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firstRow="1" w:noVBand="0" w:lastRow="0" w:firstColumn="1" w:lastColumn="0" w:noHBand="0" w:val="00a0"/>
      </w:tblPr>
      <w:tblGrid>
        <w:gridCol w:w="675"/>
        <w:gridCol w:w="6523"/>
        <w:gridCol w:w="1132"/>
        <w:gridCol w:w="1558"/>
      </w:tblGrid>
      <w:tr>
        <w:trPr>
          <w:tblHeader w:val="true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</w:t>
            </w:r>
          </w:p>
        </w:tc>
        <w:tc>
          <w:tcPr>
            <w:tcW w:w="65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center"/>
              <w:rPr>
                <w:lang w:eastAsia="en-US"/>
              </w:rPr>
            </w:pPr>
            <w:r>
              <w:rPr>
                <w:lang w:eastAsia="en-US"/>
              </w:rPr>
              <w:t>2</w:t>
            </w:r>
          </w:p>
        </w:tc>
        <w:tc>
          <w:tcPr>
            <w:tcW w:w="11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center"/>
              <w:rPr>
                <w:lang w:eastAsia="en-US"/>
              </w:rPr>
            </w:pPr>
            <w:r>
              <w:rPr>
                <w:lang w:eastAsia="en-US"/>
              </w:rPr>
              <w:t>3</w:t>
            </w:r>
          </w:p>
        </w:tc>
        <w:tc>
          <w:tcPr>
            <w:tcW w:w="1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center"/>
              <w:rPr>
                <w:lang w:eastAsia="en-US"/>
              </w:rPr>
            </w:pPr>
            <w:r>
              <w:rPr>
                <w:lang w:eastAsia="en-US"/>
              </w:rPr>
              <w:t>4</w:t>
            </w:r>
          </w:p>
        </w:tc>
      </w:tr>
      <w:tr>
        <w:trPr/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center"/>
              <w:rPr>
                <w:color w:val="000000"/>
                <w:sz w:val="28"/>
                <w:szCs w:val="28"/>
                <w:lang w:eastAsia="en-US"/>
              </w:rPr>
            </w:pPr>
            <w:r>
              <w:rPr>
                <w:color w:val="000000"/>
                <w:sz w:val="28"/>
                <w:szCs w:val="28"/>
                <w:lang w:eastAsia="en-US"/>
              </w:rPr>
              <w:t>1.</w:t>
            </w:r>
          </w:p>
        </w:tc>
        <w:tc>
          <w:tcPr>
            <w:tcW w:w="65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uppressAutoHyphens w:val="true"/>
              <w:jc w:val="both"/>
              <w:rPr>
                <w:color w:val="000000"/>
                <w:sz w:val="28"/>
                <w:szCs w:val="28"/>
                <w:lang w:eastAsia="en-US"/>
              </w:rPr>
            </w:pPr>
            <w:r>
              <w:rPr>
                <w:color w:val="000000"/>
                <w:sz w:val="28"/>
                <w:szCs w:val="28"/>
                <w:lang w:eastAsia="en-US"/>
              </w:rPr>
              <w:t>Администрация Саркеловского сельского поселения</w:t>
            </w:r>
          </w:p>
        </w:tc>
        <w:tc>
          <w:tcPr>
            <w:tcW w:w="11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>
                <w:color w:val="000000"/>
                <w:sz w:val="28"/>
                <w:szCs w:val="28"/>
                <w:lang w:eastAsia="en-US"/>
              </w:rPr>
            </w:pPr>
            <w:r>
              <w:rPr>
                <w:color w:val="000000"/>
                <w:sz w:val="28"/>
                <w:szCs w:val="28"/>
                <w:lang w:eastAsia="en-US"/>
              </w:rPr>
              <w:t xml:space="preserve">   </w:t>
            </w:r>
            <w:r>
              <w:rPr>
                <w:color w:val="000000"/>
                <w:sz w:val="28"/>
                <w:szCs w:val="28"/>
                <w:lang w:eastAsia="en-US"/>
              </w:rPr>
              <w:t>11,0</w:t>
            </w:r>
          </w:p>
        </w:tc>
        <w:tc>
          <w:tcPr>
            <w:tcW w:w="1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>
                <w:color w:val="000000"/>
                <w:sz w:val="28"/>
                <w:szCs w:val="28"/>
                <w:lang w:eastAsia="en-US"/>
              </w:rPr>
            </w:pPr>
            <w:r>
              <w:rPr>
                <w:color w:val="000000"/>
                <w:sz w:val="28"/>
                <w:szCs w:val="28"/>
                <w:lang w:eastAsia="en-US"/>
              </w:rPr>
              <w:t xml:space="preserve">  </w:t>
            </w:r>
            <w:r>
              <w:rPr>
                <w:color w:val="000000"/>
                <w:sz w:val="28"/>
                <w:szCs w:val="28"/>
                <w:lang w:eastAsia="en-US"/>
              </w:rPr>
              <w:t>3983,2</w:t>
            </w:r>
          </w:p>
        </w:tc>
      </w:tr>
      <w:tr>
        <w:trPr/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center"/>
              <w:rPr>
                <w:color w:val="000000"/>
                <w:sz w:val="28"/>
                <w:szCs w:val="28"/>
                <w:lang w:eastAsia="en-US"/>
              </w:rPr>
            </w:pPr>
            <w:r>
              <w:rPr>
                <w:color w:val="000000"/>
                <w:sz w:val="28"/>
                <w:szCs w:val="28"/>
                <w:lang w:eastAsia="en-US"/>
              </w:rPr>
              <w:t>2.</w:t>
            </w:r>
          </w:p>
        </w:tc>
        <w:tc>
          <w:tcPr>
            <w:tcW w:w="65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uppressAutoHyphens w:val="true"/>
              <w:jc w:val="both"/>
              <w:rPr>
                <w:color w:val="000000"/>
                <w:sz w:val="28"/>
                <w:szCs w:val="28"/>
                <w:lang w:eastAsia="en-US"/>
              </w:rPr>
            </w:pPr>
            <w:r>
              <w:rPr>
                <w:color w:val="000000"/>
                <w:sz w:val="28"/>
                <w:szCs w:val="28"/>
                <w:lang w:eastAsia="en-US"/>
              </w:rPr>
              <w:t>Муниципальные бюджетные учреждения в сфере культуры</w:t>
            </w:r>
          </w:p>
        </w:tc>
        <w:tc>
          <w:tcPr>
            <w:tcW w:w="11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center"/>
              <w:rPr>
                <w:color w:val="000000"/>
                <w:sz w:val="28"/>
                <w:szCs w:val="28"/>
                <w:lang w:eastAsia="en-US"/>
              </w:rPr>
            </w:pPr>
            <w:r>
              <w:rPr>
                <w:color w:val="000000"/>
                <w:sz w:val="28"/>
                <w:szCs w:val="28"/>
                <w:lang w:eastAsia="en-US"/>
              </w:rPr>
              <w:t>6,0</w:t>
            </w:r>
          </w:p>
        </w:tc>
        <w:tc>
          <w:tcPr>
            <w:tcW w:w="1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>
                <w:color w:val="000000"/>
                <w:sz w:val="28"/>
                <w:szCs w:val="28"/>
                <w:lang w:eastAsia="en-US"/>
              </w:rPr>
            </w:pPr>
            <w:r>
              <w:rPr>
                <w:color w:val="000000"/>
                <w:sz w:val="28"/>
                <w:szCs w:val="28"/>
                <w:lang w:eastAsia="en-US"/>
              </w:rPr>
              <w:t xml:space="preserve">  </w:t>
            </w:r>
            <w:r>
              <w:rPr>
                <w:color w:val="000000"/>
                <w:sz w:val="28"/>
                <w:szCs w:val="28"/>
                <w:lang w:eastAsia="en-US"/>
              </w:rPr>
              <w:t>2055,6</w:t>
            </w:r>
          </w:p>
        </w:tc>
      </w:tr>
      <w:tr>
        <w:trPr/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center"/>
              <w:rPr>
                <w:color w:val="000000"/>
                <w:sz w:val="28"/>
                <w:szCs w:val="28"/>
                <w:lang w:eastAsia="en-US"/>
              </w:rPr>
            </w:pPr>
            <w:r>
              <w:rPr>
                <w:color w:val="000000"/>
                <w:sz w:val="28"/>
                <w:szCs w:val="28"/>
                <w:lang w:eastAsia="en-US"/>
              </w:rPr>
            </w:r>
          </w:p>
        </w:tc>
        <w:tc>
          <w:tcPr>
            <w:tcW w:w="65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rPr>
                <w:color w:val="000000"/>
                <w:sz w:val="28"/>
                <w:szCs w:val="28"/>
                <w:lang w:eastAsia="en-US"/>
              </w:rPr>
            </w:pPr>
            <w:r>
              <w:rPr>
                <w:color w:val="000000"/>
                <w:sz w:val="28"/>
                <w:szCs w:val="28"/>
                <w:lang w:eastAsia="en-US"/>
              </w:rPr>
              <w:t>Итого</w:t>
            </w:r>
          </w:p>
        </w:tc>
        <w:tc>
          <w:tcPr>
            <w:tcW w:w="11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>
                <w:color w:val="000000"/>
                <w:sz w:val="28"/>
                <w:szCs w:val="28"/>
                <w:lang w:eastAsia="en-US"/>
              </w:rPr>
            </w:pPr>
            <w:r>
              <w:rPr>
                <w:color w:val="000000"/>
                <w:sz w:val="28"/>
                <w:szCs w:val="28"/>
                <w:lang w:eastAsia="en-US"/>
              </w:rPr>
              <w:t xml:space="preserve">  </w:t>
            </w:r>
            <w:r>
              <w:rPr>
                <w:color w:val="000000"/>
                <w:sz w:val="28"/>
                <w:szCs w:val="28"/>
                <w:lang w:eastAsia="en-US"/>
              </w:rPr>
              <w:t>16,0</w:t>
            </w:r>
          </w:p>
        </w:tc>
        <w:tc>
          <w:tcPr>
            <w:tcW w:w="1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>
                <w:color w:val="000000"/>
                <w:sz w:val="28"/>
                <w:szCs w:val="28"/>
                <w:lang w:eastAsia="en-US"/>
              </w:rPr>
            </w:pPr>
            <w:r>
              <w:rPr>
                <w:color w:val="000000"/>
                <w:sz w:val="28"/>
                <w:szCs w:val="28"/>
                <w:lang w:eastAsia="en-US"/>
              </w:rPr>
              <w:t xml:space="preserve"> </w:t>
            </w:r>
            <w:r>
              <w:rPr>
                <w:color w:val="000000"/>
                <w:sz w:val="28"/>
                <w:szCs w:val="28"/>
                <w:lang w:eastAsia="en-US"/>
              </w:rPr>
              <w:t>6 038,8</w:t>
            </w:r>
          </w:p>
        </w:tc>
      </w:tr>
    </w:tbl>
    <w:p>
      <w:pPr>
        <w:pStyle w:val="BodyText"/>
        <w:spacing w:before="0" w:after="0"/>
        <w:jc w:val="both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Normal"/>
        <w:jc w:val="both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Normal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Normal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Заведующий сектором экономики и финансов                                 М.А.Маврат </w:t>
      </w:r>
    </w:p>
    <w:p>
      <w:pPr>
        <w:pStyle w:val="Normal"/>
        <w:suppressAutoHyphens w:val="true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Normal"/>
        <w:suppressAutoHyphens w:val="true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Normal"/>
        <w:suppressAutoHyphens w:val="true"/>
        <w:rPr>
          <w:sz w:val="28"/>
          <w:szCs w:val="28"/>
        </w:rPr>
      </w:pPr>
      <w:r>
        <w:rPr>
          <w:sz w:val="28"/>
          <w:szCs w:val="28"/>
        </w:rPr>
      </w:r>
    </w:p>
    <w:sectPr>
      <w:headerReference w:type="even" r:id="rId3"/>
      <w:headerReference w:type="default" r:id="rId4"/>
      <w:headerReference w:type="first" r:id="rId5"/>
      <w:type w:val="nextPage"/>
      <w:pgSz w:w="11906" w:h="16838"/>
      <w:pgMar w:left="1080" w:right="1080" w:gutter="0" w:header="709" w:top="820" w:footer="0" w:bottom="1440"/>
      <w:pgNumType w:fmt="decimal"/>
      <w:formProt w:val="false"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cc"/>
    <w:family w:val="roman"/>
    <w:pitch w:val="variable"/>
  </w:font>
  <w:font w:name="Times New Roman">
    <w:charset w:val="cc"/>
    <w:family w:val="roman"/>
    <w:pitch w:val="variable"/>
  </w:font>
  <w:font w:name="Liberation Sans">
    <w:altName w:val="Arial"/>
    <w:charset w:val="cc"/>
    <w:family w:val="swiss"/>
    <w:pitch w:val="variable"/>
  </w:font>
  <w:font w:name="Tahoma">
    <w:charset w:val="cc"/>
    <w:family w:val="swiss"/>
    <w:pitch w:val="variable"/>
  </w:font>
  <w:font w:name="Courier New">
    <w:charset w:val="cc"/>
    <w:family w:val="auto"/>
    <w:pitch w:val="variable"/>
  </w:font>
  <w:font w:name="Arial">
    <w:charset w:val="cc"/>
    <w:family w:val="swiss"/>
    <w:pitch w:val="variable"/>
  </w:font>
</w:fonts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Header"/>
      <w:rPr/>
    </w:pPr>
    <w:r>
      <w:rPr/>
    </w:r>
  </w:p>
</w:hdr>
</file>

<file path=word/header2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Header"/>
      <w:rPr/>
    </w:pPr>
    <w:r>
      <w:rPr/>
    </w:r>
  </w:p>
</w:hdr>
</file>

<file path=word/header3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Header"/>
      <w:rPr/>
    </w:pPr>
    <w:r>
      <w:rPr/>
    </w:r>
  </w:p>
</w:hdr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 xmlns:mc="http://schemas.openxmlformats.org/markup-compatibility/2006" xmlns:w14="http://schemas.microsoft.com/office/word/2010/wordml" mc:Ignorable="w14">
  <w:abstractNum w:abstractNumId="1"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/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/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/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/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/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/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/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/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/>
    </w:lvl>
  </w:abstractNum>
  <w:abstractNum w:abstractNumId="2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</w:abstractNum>
  <w:num w:numId="1">
    <w:abstractNumId w:val="1"/>
  </w:num>
  <w:num w:numId="2">
    <w:abstractNumId w:val="2"/>
  </w:num>
</w:numbering>
</file>

<file path=word/settings.xml><?xml version="1.0" encoding="utf-8"?>
<w:settings xmlns:w="http://schemas.openxmlformats.org/wordprocessingml/2006/main">
  <w:zoom w:percent="100"/>
  <w:defaultTabStop w:val="708"/>
  <w:autoHyphenation w:val="true"/>
  <w:hyphenationZone w:val="0"/>
  <w:compat>
    <w:compatSetting w:name="compatibilityMode" w:uri="http://schemas.microsoft.com/office/word" w:val="12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themeFontLang w:val="ru-RU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Times New Roman" w:hAnsi="Times New Roman" w:eastAsia="Times New Roman" w:cs="Times New Roman"/>
        <w:lang w:val="ru-RU" w:eastAsia="ru-RU" w:bidi="ar-SA"/>
      </w:rPr>
    </w:rPrDefault>
    <w:pPrDefault>
      <w:pPr>
        <w:suppressAutoHyphens w:val="true"/>
      </w:pPr>
    </w:pPrDefault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uiPriority="99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uiPriority="99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  <w:rsid w:val="00ae61ba"/>
    <w:pPr>
      <w:widowControl/>
      <w:suppressAutoHyphens w:val="true"/>
      <w:bidi w:val="0"/>
      <w:spacing w:before="0" w:after="0"/>
      <w:jc w:val="left"/>
    </w:pPr>
    <w:rPr>
      <w:rFonts w:ascii="Times New Roman" w:hAnsi="Times New Roman" w:eastAsia="Times New Roman" w:cs="Times New Roman"/>
      <w:color w:val="auto"/>
      <w:kern w:val="0"/>
      <w:sz w:val="24"/>
      <w:szCs w:val="24"/>
      <w:lang w:val="ru-RU" w:eastAsia="ru-RU" w:bidi="ar-SA"/>
    </w:rPr>
  </w:style>
  <w:style w:type="paragraph" w:styleId="Heading5">
    <w:name w:val="heading 5"/>
    <w:basedOn w:val="Normal"/>
    <w:next w:val="Normal"/>
    <w:qFormat/>
    <w:rsid w:val="004c3276"/>
    <w:pPr>
      <w:spacing w:before="240" w:after="60"/>
      <w:outlineLvl w:val="4"/>
    </w:pPr>
    <w:rPr>
      <w:b/>
      <w:bCs/>
      <w:i/>
      <w:iCs/>
      <w:sz w:val="26"/>
      <w:szCs w:val="26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apple-converted-space" w:customStyle="1">
    <w:name w:val="apple-converted-space"/>
    <w:basedOn w:val="DefaultParagraphFont"/>
    <w:qFormat/>
    <w:rsid w:val="005b3ae9"/>
    <w:rPr/>
  </w:style>
  <w:style w:type="character" w:styleId="Style13" w:customStyle="1">
    <w:name w:val="Верхний колонтитул Знак"/>
    <w:uiPriority w:val="99"/>
    <w:qFormat/>
    <w:rsid w:val="00e316cf"/>
    <w:rPr>
      <w:sz w:val="24"/>
      <w:szCs w:val="24"/>
    </w:rPr>
  </w:style>
  <w:style w:type="character" w:styleId="Style14" w:customStyle="1">
    <w:name w:val="Нижний колонтитул Знак"/>
    <w:qFormat/>
    <w:rsid w:val="00e316cf"/>
    <w:rPr>
      <w:sz w:val="24"/>
      <w:szCs w:val="24"/>
    </w:rPr>
  </w:style>
  <w:style w:type="paragraph" w:styleId="Style15">
    <w:name w:val="Заголовок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BodyText">
    <w:name w:val="Body Text"/>
    <w:basedOn w:val="Normal"/>
    <w:rsid w:val="004c3276"/>
    <w:pPr>
      <w:spacing w:before="0" w:after="120"/>
    </w:pPr>
    <w:rPr/>
  </w:style>
  <w:style w:type="paragraph" w:styleId="List">
    <w:name w:val="List"/>
    <w:basedOn w:val="BodyText"/>
    <w:pPr/>
    <w:rPr>
      <w:rFonts w:cs="Arial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Style16">
    <w:name w:val="Указатель"/>
    <w:basedOn w:val="Normal"/>
    <w:qFormat/>
    <w:pPr>
      <w:suppressLineNumbers/>
    </w:pPr>
    <w:rPr>
      <w:rFonts w:cs="Arial"/>
    </w:rPr>
  </w:style>
  <w:style w:type="paragraph" w:styleId="BalloonText">
    <w:name w:val="Balloon Text"/>
    <w:basedOn w:val="Normal"/>
    <w:semiHidden/>
    <w:qFormat/>
    <w:rsid w:val="00e72f86"/>
    <w:pPr/>
    <w:rPr>
      <w:rFonts w:ascii="Tahoma" w:hAnsi="Tahoma" w:cs="Tahoma"/>
      <w:sz w:val="16"/>
      <w:szCs w:val="16"/>
    </w:rPr>
  </w:style>
  <w:style w:type="paragraph" w:styleId="ConsPlusNonformat" w:customStyle="1">
    <w:name w:val="ConsPlusNonformat"/>
    <w:qFormat/>
    <w:rsid w:val="0091144a"/>
    <w:pPr>
      <w:widowControl/>
      <w:suppressAutoHyphens w:val="true"/>
      <w:bidi w:val="0"/>
      <w:spacing w:before="0" w:after="0"/>
      <w:jc w:val="left"/>
    </w:pPr>
    <w:rPr>
      <w:rFonts w:ascii="Courier New" w:hAnsi="Courier New" w:eastAsia="Times New Roman" w:cs="Courier New"/>
      <w:color w:val="auto"/>
      <w:kern w:val="0"/>
      <w:sz w:val="20"/>
      <w:szCs w:val="20"/>
      <w:lang w:val="ru-RU" w:eastAsia="ru-RU" w:bidi="ar-SA"/>
    </w:rPr>
  </w:style>
  <w:style w:type="paragraph" w:styleId="ListParagraph">
    <w:name w:val="List Paragraph"/>
    <w:basedOn w:val="Normal"/>
    <w:qFormat/>
    <w:rsid w:val="00a42bdb"/>
    <w:pPr>
      <w:spacing w:before="0" w:after="0"/>
      <w:ind w:left="720"/>
      <w:contextualSpacing/>
    </w:pPr>
    <w:rPr/>
  </w:style>
  <w:style w:type="paragraph" w:styleId="ConsPlusNormal" w:customStyle="1">
    <w:name w:val="ConsPlusNormal"/>
    <w:qFormat/>
    <w:rsid w:val="00af3478"/>
    <w:pPr>
      <w:widowControl w:val="false"/>
      <w:suppressAutoHyphens w:val="true"/>
      <w:bidi w:val="0"/>
      <w:spacing w:before="0" w:after="0"/>
      <w:jc w:val="left"/>
    </w:pPr>
    <w:rPr>
      <w:rFonts w:ascii="Times New Roman" w:hAnsi="Times New Roman" w:eastAsia="Times New Roman" w:cs="Times New Roman"/>
      <w:color w:val="auto"/>
      <w:kern w:val="0"/>
      <w:sz w:val="28"/>
      <w:szCs w:val="20"/>
      <w:lang w:val="ru-RU" w:eastAsia="ru-RU" w:bidi="ar-SA"/>
    </w:rPr>
  </w:style>
  <w:style w:type="paragraph" w:styleId="ConsPlusTitle" w:customStyle="1">
    <w:name w:val="ConsPlusTitle"/>
    <w:qFormat/>
    <w:rsid w:val="004c3276"/>
    <w:pPr>
      <w:widowControl w:val="false"/>
      <w:suppressAutoHyphens w:val="true"/>
      <w:bidi w:val="0"/>
      <w:spacing w:before="0" w:after="0"/>
      <w:jc w:val="left"/>
    </w:pPr>
    <w:rPr>
      <w:rFonts w:ascii="Arial" w:hAnsi="Arial" w:eastAsia="Times New Roman" w:cs="Arial"/>
      <w:b/>
      <w:bCs/>
      <w:color w:val="auto"/>
      <w:kern w:val="0"/>
      <w:sz w:val="20"/>
      <w:szCs w:val="20"/>
      <w:lang w:val="ru-RU" w:eastAsia="ru-RU" w:bidi="ar-SA"/>
    </w:rPr>
  </w:style>
  <w:style w:type="paragraph" w:styleId="ConsNormal" w:customStyle="1">
    <w:name w:val="ConsNormal"/>
    <w:qFormat/>
    <w:rsid w:val="004c3276"/>
    <w:pPr>
      <w:widowControl w:val="false"/>
      <w:suppressAutoHyphens w:val="true"/>
      <w:bidi w:val="0"/>
      <w:spacing w:before="0" w:after="0"/>
      <w:ind w:firstLine="720" w:right="19772"/>
      <w:jc w:val="left"/>
    </w:pPr>
    <w:rPr>
      <w:rFonts w:ascii="Arial" w:hAnsi="Arial" w:eastAsia="Times New Roman" w:cs="Arial"/>
      <w:color w:val="auto"/>
      <w:kern w:val="0"/>
      <w:sz w:val="20"/>
      <w:szCs w:val="20"/>
      <w:lang w:val="ru-RU" w:eastAsia="ru-RU" w:bidi="ar-SA"/>
    </w:rPr>
  </w:style>
  <w:style w:type="paragraph" w:styleId="1" w:customStyle="1">
    <w:name w:val="Обычный1"/>
    <w:qFormat/>
    <w:rsid w:val="004c3276"/>
    <w:pPr>
      <w:widowControl w:val="false"/>
      <w:suppressAutoHyphens w:val="true"/>
      <w:bidi w:val="0"/>
      <w:spacing w:lineRule="auto" w:line="300" w:before="0" w:after="0"/>
      <w:ind w:firstLine="720" w:left="40"/>
      <w:jc w:val="both"/>
    </w:pPr>
    <w:rPr>
      <w:rFonts w:ascii="Times New Roman" w:hAnsi="Times New Roman" w:eastAsia="Times New Roman" w:cs="Times New Roman"/>
      <w:color w:val="auto"/>
      <w:kern w:val="0"/>
      <w:sz w:val="24"/>
      <w:szCs w:val="20"/>
      <w:lang w:val="ru-RU" w:eastAsia="ru-RU" w:bidi="ar-SA"/>
    </w:rPr>
  </w:style>
  <w:style w:type="paragraph" w:styleId="11" w:customStyle="1">
    <w:name w:val="Знак Знак Знак1 Знак"/>
    <w:basedOn w:val="Normal"/>
    <w:qFormat/>
    <w:rsid w:val="004c3276"/>
    <w:pPr>
      <w:spacing w:beforeAutospacing="1" w:afterAutospacing="1"/>
      <w:jc w:val="both"/>
    </w:pPr>
    <w:rPr>
      <w:rFonts w:ascii="Tahoma" w:hAnsi="Tahoma"/>
      <w:sz w:val="20"/>
      <w:szCs w:val="20"/>
      <w:lang w:val="en-US" w:eastAsia="en-US"/>
    </w:rPr>
  </w:style>
  <w:style w:type="paragraph" w:styleId="12" w:customStyle="1">
    <w:name w:val="Знак1"/>
    <w:basedOn w:val="Normal"/>
    <w:qFormat/>
    <w:rsid w:val="000b6427"/>
    <w:pPr>
      <w:spacing w:beforeAutospacing="1" w:afterAutospacing="1"/>
    </w:pPr>
    <w:rPr>
      <w:rFonts w:ascii="Tahoma" w:hAnsi="Tahoma"/>
      <w:sz w:val="20"/>
      <w:szCs w:val="20"/>
      <w:lang w:val="en-US" w:eastAsia="en-US"/>
    </w:rPr>
  </w:style>
  <w:style w:type="paragraph" w:styleId="HeaderandFooter">
    <w:name w:val="Header and Footer"/>
    <w:basedOn w:val="Normal"/>
    <w:qFormat/>
    <w:pPr/>
    <w:rPr/>
  </w:style>
  <w:style w:type="paragraph" w:styleId="Header">
    <w:name w:val="header"/>
    <w:basedOn w:val="Normal"/>
    <w:link w:val="Style13"/>
    <w:uiPriority w:val="99"/>
    <w:rsid w:val="00e316cf"/>
    <w:pPr>
      <w:tabs>
        <w:tab w:val="clear" w:pos="708"/>
        <w:tab w:val="center" w:pos="4677" w:leader="none"/>
        <w:tab w:val="right" w:pos="9355" w:leader="none"/>
      </w:tabs>
    </w:pPr>
    <w:rPr/>
  </w:style>
  <w:style w:type="paragraph" w:styleId="Footer">
    <w:name w:val="footer"/>
    <w:basedOn w:val="Normal"/>
    <w:link w:val="Style14"/>
    <w:rsid w:val="00e316cf"/>
    <w:pPr>
      <w:tabs>
        <w:tab w:val="clear" w:pos="708"/>
        <w:tab w:val="center" w:pos="4677" w:leader="none"/>
        <w:tab w:val="right" w:pos="9355" w:leader="none"/>
      </w:tabs>
    </w:pPr>
    <w:rPr/>
  </w:style>
  <w:style w:type="paragraph" w:styleId="Style17">
    <w:name w:val="Содержимое таблицы"/>
    <w:basedOn w:val="Normal"/>
    <w:qFormat/>
    <w:pPr>
      <w:widowControl w:val="false"/>
      <w:suppressLineNumbers/>
    </w:pPr>
    <w:rPr/>
  </w:style>
  <w:style w:type="paragraph" w:styleId="Style18">
    <w:name w:val="Заголовок таблицы"/>
    <w:basedOn w:val="Style17"/>
    <w:qFormat/>
    <w:pPr>
      <w:suppressLineNumbers/>
      <w:jc w:val="center"/>
    </w:pPr>
    <w:rPr>
      <w:b/>
      <w:bCs/>
    </w:rPr>
  </w:style>
  <w:style w:type="numbering" w:styleId="Style19" w:default="1">
    <w:name w:val="Без списка"/>
    <w:uiPriority w:val="99"/>
    <w:semiHidden/>
    <w:unhideWhenUsed/>
    <w:qFormat/>
  </w:style>
  <w:style w:type="table" w:default="1" w:styleId="a1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jpeg"/><Relationship Id="rId3" Type="http://schemas.openxmlformats.org/officeDocument/2006/relationships/header" Target="header1.xml"/><Relationship Id="rId4" Type="http://schemas.openxmlformats.org/officeDocument/2006/relationships/header" Target="header2.xml"/><Relationship Id="rId5" Type="http://schemas.openxmlformats.org/officeDocument/2006/relationships/header" Target="header3.xml"/><Relationship Id="rId6" Type="http://schemas.openxmlformats.org/officeDocument/2006/relationships/numbering" Target="numbering.xml"/><Relationship Id="rId7" Type="http://schemas.openxmlformats.org/officeDocument/2006/relationships/fontTable" Target="fontTable.xml"/><Relationship Id="rId8" Type="http://schemas.openxmlformats.org/officeDocument/2006/relationships/settings" Target="settings.xml"/><Relationship Id="rId9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xmlns:r="http://schemas.openxmlformats.org/officeDocument/2006/relationships" name="Тема Office">
  <a:themeElements>
    <a:clrScheme name="Стандартная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 pitchFamily="0" charset="1"/>
        <a:ea typeface=""/>
        <a:cs typeface=""/>
      </a:majorFont>
      <a:minorFont>
        <a:latin typeface="Calibri" pitchFamily="0" charset="1"/>
        <a:ea typeface=""/>
        <a:cs typeface=""/>
      </a:minorFont>
    </a:fontScheme>
    <a:fmtScheme>
      <a:fillStyleLst>
        <a:solidFill>
          <a:schemeClr val="phClr"/>
        </a:solidFill>
        <a:gradFill>
          <a:gsLst>
            <a:gs pos="0">
              <a:schemeClr val="phClr">
                <a:tint val="50000"/>
              </a:schemeClr>
            </a:gs>
            <a:gs pos="35000">
              <a:schemeClr val="phClr">
                <a:tint val="37000"/>
              </a:schemeClr>
            </a:gs>
            <a:gs pos="100000">
              <a:schemeClr val="phClr">
                <a:tint val="15000"/>
              </a:schemeClr>
            </a:gs>
          </a:gsLst>
          <a:lin ang="16200000" scaled="1"/>
          <a:tileRect l="0" t="0" r="0" b="0"/>
        </a:gradFill>
        <a:gradFill>
          <a:gsLst>
            <a:gs pos="0">
              <a:schemeClr val="phClr">
                <a:shade val="51000"/>
              </a:schemeClr>
            </a:gs>
            <a:gs pos="80000">
              <a:schemeClr val="phClr">
                <a:shade val="93000"/>
              </a:schemeClr>
            </a:gs>
            <a:gs pos="100000">
              <a:schemeClr val="phClr">
                <a:shade val="94000"/>
              </a:schemeClr>
            </a:gs>
          </a:gsLst>
          <a:lin ang="16200000" scaled="0"/>
          <a:tileRect l="0" t="0" r="0" b="0"/>
        </a:gradFill>
      </a:fillStyleLst>
      <a:lnStyleLst>
        <a:ln w="9525" cap="flat" cmpd="sng" algn="ctr">
          <a:prstDash val="solid"/>
        </a:ln>
        <a:ln w="25400" cap="flat" cmpd="sng" algn="ctr">
          <a:prstDash val="solid"/>
        </a:ln>
        <a:ln w="38100" cap="flat" cmpd="sng" algn="ctr"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</a:schemeClr>
            </a:gs>
            <a:gs pos="40000">
              <a:schemeClr val="phClr">
                <a:tint val="45000"/>
                <a:shade val="99000"/>
              </a:schemeClr>
            </a:gs>
            <a:gs pos="100000">
              <a:schemeClr val="phClr">
                <a:shade val="20000"/>
              </a:schemeClr>
            </a:gs>
          </a:gsLst>
          <a:path path="circle">
            <a:fillToRect l="50000" t="-80000" r="50000" b="180000"/>
          </a:path>
          <a:tileRect l="0" t="0" r="0" b="0"/>
        </a:gradFill>
        <a:gradFill>
          <a:gsLst>
            <a:gs pos="0">
              <a:schemeClr val="phClr">
                <a:tint val="80000"/>
              </a:schemeClr>
            </a:gs>
            <a:gs pos="100000">
              <a:schemeClr val="phClr">
                <a:shade val="30000"/>
              </a:schemeClr>
            </a:gs>
          </a:gsLst>
          <a:path path="circle">
            <a:fillToRect l="50000" t="50000" r="50000" b="50000"/>
          </a:path>
          <a:tileRect l="0" t="0" r="0" b="0"/>
        </a:gradFill>
      </a:bgFillStyleLst>
    </a:fmtScheme>
  </a:themeElements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</TotalTime>
  <Application>LibreOffice/24.8.4.2$Windows_X86_64 LibreOffice_project/bb3cfa12c7b1bf994ecc5649a80400d06cd71002</Application>
  <AppVersion>15.0000</AppVersion>
  <Pages>7</Pages>
  <Words>1084</Words>
  <Characters>7330</Characters>
  <CharactersWithSpaces>9197</CharactersWithSpaces>
  <Paragraphs>240</Paragraphs>
  <Company>Home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2023-07-25T13:09:00Z</dcterms:created>
  <dc:creator>Виктория</dc:creator>
  <dc:description/>
  <dc:language>ru-RU</dc:language>
  <cp:lastModifiedBy/>
  <cp:lastPrinted>2023-07-25T13:00:00Z</cp:lastPrinted>
  <dcterms:modified xsi:type="dcterms:W3CDTF">2025-01-21T13:56:53Z</dcterms:modified>
  <cp:revision>7</cp:revision>
  <dc:subject/>
  <dc:title>АДМИНИСТРАЦИЯ</dc:title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