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right="-604"/>
        <w:rPr>
          <w:b/>
          <w:sz w:val="28"/>
          <w:szCs w:val="28"/>
        </w:rPr>
      </w:pPr>
      <w:bookmarkStart w:id="0" w:name="_GoBack"/>
      <w:bookmarkEnd w:id="0"/>
      <w:r>
        <w:rPr>
          <w:b/>
          <w:color w:val="000000"/>
          <w:sz w:val="28"/>
          <w:szCs w:val="28"/>
        </w:rPr>
        <w:t xml:space="preserve">                                                              </w:t>
      </w:r>
      <w:r>
        <w:rPr/>
        <w:drawing>
          <wp:inline distT="0" distB="0" distL="0" distR="0">
            <wp:extent cx="688340" cy="784860"/>
            <wp:effectExtent l="0" t="0" r="0" b="0"/>
            <wp:docPr id="1" name="Рисунок 1" descr="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Герб цвет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340" cy="784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pStyle w:val="Normal"/>
        <w:widowControl/>
        <w:jc w:val="center"/>
        <w:rPr>
          <w:rFonts w:eastAsia="" w:eastAsiaTheme="minorEastAsia"/>
          <w:b/>
          <w:sz w:val="28"/>
          <w:szCs w:val="28"/>
        </w:rPr>
      </w:pPr>
      <w:r>
        <w:rPr>
          <w:rFonts w:eastAsia="" w:eastAsiaTheme="minorEastAsia"/>
          <w:b/>
          <w:sz w:val="28"/>
          <w:szCs w:val="28"/>
        </w:rPr>
        <w:t xml:space="preserve">РОССИЙСКАЯ  ФЕДЕРАЦИЯ </w:t>
      </w:r>
    </w:p>
    <w:p>
      <w:pPr>
        <w:pStyle w:val="Normal"/>
        <w:widowControl/>
        <w:jc w:val="center"/>
        <w:rPr>
          <w:rFonts w:eastAsia="" w:eastAsiaTheme="minorEastAsia"/>
          <w:b/>
          <w:sz w:val="28"/>
          <w:szCs w:val="28"/>
        </w:rPr>
      </w:pPr>
      <w:r>
        <w:rPr>
          <w:rFonts w:eastAsia="" w:eastAsiaTheme="minorEastAsia"/>
          <w:b/>
          <w:sz w:val="28"/>
          <w:szCs w:val="28"/>
        </w:rPr>
        <w:t xml:space="preserve">РОСТОВСКАЯ ОБЛАСТЬ </w:t>
      </w:r>
    </w:p>
    <w:p>
      <w:pPr>
        <w:pStyle w:val="Normal"/>
        <w:widowControl/>
        <w:jc w:val="center"/>
        <w:rPr>
          <w:rFonts w:eastAsia="" w:eastAsiaTheme="minorEastAsia"/>
          <w:b/>
          <w:sz w:val="28"/>
          <w:szCs w:val="28"/>
        </w:rPr>
      </w:pPr>
      <w:r>
        <w:rPr>
          <w:rFonts w:eastAsia="" w:eastAsiaTheme="minorEastAsia"/>
          <w:b/>
          <w:sz w:val="28"/>
          <w:szCs w:val="28"/>
        </w:rPr>
        <w:t xml:space="preserve">ЦИМЛЯНСКИЙ РАЙОН </w:t>
      </w:r>
    </w:p>
    <w:p>
      <w:pPr>
        <w:pStyle w:val="Normal"/>
        <w:widowControl/>
        <w:jc w:val="center"/>
        <w:rPr>
          <w:rFonts w:eastAsia="" w:eastAsiaTheme="minorEastAsia"/>
          <w:b/>
          <w:sz w:val="28"/>
          <w:szCs w:val="28"/>
        </w:rPr>
      </w:pPr>
      <w:r>
        <w:rPr>
          <w:rFonts w:eastAsia="" w:eastAsiaTheme="minorEastAsia"/>
          <w:b/>
          <w:sz w:val="28"/>
          <w:szCs w:val="28"/>
        </w:rPr>
        <w:t xml:space="preserve">АДМИНИСТРАЦИЯ САРКЕЛОВСКОГО </w:t>
      </w:r>
    </w:p>
    <w:p>
      <w:pPr>
        <w:pStyle w:val="Normal"/>
        <w:widowControl/>
        <w:jc w:val="center"/>
        <w:rPr>
          <w:rFonts w:eastAsia="" w:eastAsiaTheme="minorEastAsia"/>
          <w:b/>
          <w:sz w:val="28"/>
          <w:szCs w:val="28"/>
        </w:rPr>
      </w:pPr>
      <w:r>
        <w:rPr>
          <w:rFonts w:eastAsia="" w:eastAsiaTheme="minorEastAsia"/>
          <w:b/>
          <w:sz w:val="28"/>
          <w:szCs w:val="28"/>
        </w:rPr>
        <w:t xml:space="preserve">СЕЛЬСКОГО ПОСЕЛЕНИЯ </w:t>
      </w:r>
    </w:p>
    <w:p>
      <w:pPr>
        <w:pStyle w:val="Normal"/>
        <w:ind w:right="-604"/>
        <w:jc w:val="center"/>
        <w:rPr/>
      </w:pPr>
      <w:r>
        <w:rPr>
          <w:rFonts w:eastAsia="" w:eastAsiaTheme="minorEastAsia"/>
          <w:b/>
          <w:color w:val="000000"/>
          <w:sz w:val="28"/>
          <w:szCs w:val="28"/>
        </w:rPr>
        <w:t>ПОСТАНОВЛЕНИЕ</w:t>
      </w:r>
    </w:p>
    <w:p>
      <w:pPr>
        <w:pStyle w:val="Normal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lineRule="atLeast" w:line="231"/>
        <w:jc w:val="right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  <w:t>10</w:t>
      </w:r>
      <w:r>
        <w:rPr>
          <w:color w:val="1E1E1E"/>
          <w:sz w:val="28"/>
          <w:szCs w:val="28"/>
        </w:rPr>
        <w:t>.0</w:t>
      </w:r>
      <w:r>
        <w:rPr>
          <w:color w:val="1E1E1E"/>
          <w:sz w:val="28"/>
          <w:szCs w:val="28"/>
        </w:rPr>
        <w:t>7</w:t>
      </w:r>
      <w:r>
        <w:rPr>
          <w:color w:val="1E1E1E"/>
          <w:sz w:val="28"/>
          <w:szCs w:val="28"/>
        </w:rPr>
        <w:t xml:space="preserve">.2024г.                                           № </w:t>
      </w:r>
      <w:r>
        <w:rPr>
          <w:color w:val="1E1E1E"/>
          <w:sz w:val="28"/>
          <w:szCs w:val="28"/>
        </w:rPr>
        <w:t>68</w:t>
      </w:r>
      <w:r>
        <w:rPr>
          <w:color w:val="1E1E1E"/>
          <w:sz w:val="28"/>
          <w:szCs w:val="28"/>
        </w:rPr>
        <w:t>/1                                          пос. Саркел</w:t>
      </w:r>
    </w:p>
    <w:p>
      <w:pPr>
        <w:pStyle w:val="Normal"/>
        <w:spacing w:lineRule="atLeast" w:line="231"/>
        <w:jc w:val="right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</w:r>
    </w:p>
    <w:p>
      <w:pPr>
        <w:pStyle w:val="Normal"/>
        <w:spacing w:lineRule="atLeast" w:line="231"/>
        <w:rPr>
          <w:color w:val="1E1E1E"/>
          <w:sz w:val="28"/>
          <w:szCs w:val="28"/>
        </w:rPr>
      </w:pPr>
      <w:r>
        <w:rPr>
          <w:sz w:val="28"/>
          <w:szCs w:val="28"/>
        </w:rPr>
        <w:t xml:space="preserve">Об отчете об исполнении </w:t>
      </w:r>
    </w:p>
    <w:p>
      <w:pPr>
        <w:pStyle w:val="1"/>
        <w:tabs>
          <w:tab w:val="clear" w:pos="708"/>
          <w:tab w:val="left" w:pos="469" w:leader="none"/>
          <w:tab w:val="center" w:pos="4816" w:leader="none"/>
        </w:tabs>
        <w:spacing w:lineRule="auto" w:line="240"/>
        <w:ind w:hanging="0" w:left="0"/>
        <w:jc w:val="left"/>
        <w:rPr>
          <w:sz w:val="28"/>
          <w:szCs w:val="28"/>
        </w:rPr>
      </w:pPr>
      <w:r>
        <w:rPr>
          <w:sz w:val="28"/>
          <w:szCs w:val="28"/>
        </w:rPr>
        <w:t>бюджета Саркеловского</w:t>
      </w:r>
    </w:p>
    <w:p>
      <w:pPr>
        <w:pStyle w:val="1"/>
        <w:tabs>
          <w:tab w:val="clear" w:pos="708"/>
          <w:tab w:val="left" w:pos="469" w:leader="none"/>
          <w:tab w:val="center" w:pos="4816" w:leader="none"/>
        </w:tabs>
        <w:spacing w:lineRule="auto" w:line="240"/>
        <w:ind w:hanging="0" w:left="0"/>
        <w:jc w:val="left"/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</w:p>
    <w:p>
      <w:pPr>
        <w:pStyle w:val="1"/>
        <w:tabs>
          <w:tab w:val="clear" w:pos="708"/>
          <w:tab w:val="left" w:pos="469" w:leader="none"/>
          <w:tab w:val="center" w:pos="4816" w:leader="none"/>
        </w:tabs>
        <w:spacing w:lineRule="auto" w:line="240"/>
        <w:ind w:hanging="0" w:left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за 1 </w:t>
      </w:r>
      <w:r>
        <w:rPr>
          <w:sz w:val="28"/>
          <w:szCs w:val="28"/>
        </w:rPr>
        <w:t xml:space="preserve">полугодие </w:t>
      </w:r>
      <w:r>
        <w:rPr>
          <w:sz w:val="28"/>
          <w:szCs w:val="28"/>
        </w:rPr>
        <w:t>2024 года</w:t>
      </w:r>
    </w:p>
    <w:p>
      <w:pPr>
        <w:pStyle w:val="1"/>
        <w:tabs>
          <w:tab w:val="clear" w:pos="708"/>
          <w:tab w:val="left" w:pos="469" w:leader="none"/>
          <w:tab w:val="center" w:pos="4816" w:leader="none"/>
        </w:tabs>
        <w:spacing w:lineRule="auto" w:line="240"/>
        <w:ind w:hanging="0" w:left="0"/>
        <w:jc w:val="lef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ConsPlusTitle"/>
        <w:widowControl/>
        <w:spacing w:lineRule="auto" w:line="228"/>
        <w:ind w:firstLine="748"/>
        <w:jc w:val="both"/>
        <w:rPr>
          <w:rFonts w:ascii="Times New Roman" w:hAnsi="Times New Roman" w:cs="Times New Roman"/>
          <w:b w:val="false"/>
          <w:sz w:val="28"/>
          <w:szCs w:val="28"/>
        </w:rPr>
      </w:pPr>
      <w:r>
        <w:rPr>
          <w:rFonts w:cs="Times New Roman" w:ascii="Times New Roman" w:hAnsi="Times New Roman"/>
          <w:b w:val="false"/>
          <w:sz w:val="28"/>
          <w:szCs w:val="28"/>
        </w:rPr>
        <w:t>В соответствии со статьей 264.2 Бюджетного кодекса Российской Федерации, пунктом 5.2 Положения о бюджетном процессе в Саркеловском сельском поселении, утвержденном решением Собрания депутатов Савркеловского сельского поселения  от 29.08.2014г. № 59,</w:t>
      </w:r>
      <w:r>
        <w:rPr>
          <w:rFonts w:ascii="Times New Roman" w:hAnsi="Times New Roman"/>
          <w:b w:val="false"/>
          <w:sz w:val="28"/>
          <w:szCs w:val="28"/>
        </w:rPr>
        <w:t xml:space="preserve"> Администрация Саркеловского сельского поселения,</w:t>
      </w:r>
    </w:p>
    <w:p>
      <w:pPr>
        <w:pStyle w:val="ConsPlusNormal"/>
        <w:widowControl/>
        <w:spacing w:lineRule="auto" w:line="228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firstLine="72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ПОСТАНОВЛЯЕТ:</w:t>
      </w:r>
    </w:p>
    <w:p>
      <w:pPr>
        <w:pStyle w:val="ConsPlusNormal"/>
        <w:widowControl/>
        <w:numPr>
          <w:ilvl w:val="0"/>
          <w:numId w:val="1"/>
        </w:numPr>
        <w:spacing w:lineRule="auto" w:line="228"/>
        <w:jc w:val="both"/>
        <w:rPr>
          <w:szCs w:val="28"/>
        </w:rPr>
      </w:pPr>
      <w:r>
        <w:rPr>
          <w:szCs w:val="28"/>
        </w:rPr>
        <w:t xml:space="preserve">Утвердить отчет об исполнении бюджета Саркеловского сельского поселения (далее по тексту – бюджета поселения)  </w:t>
      </w:r>
      <w:r>
        <w:rPr>
          <w:sz w:val="28"/>
          <w:szCs w:val="28"/>
        </w:rPr>
        <w:t xml:space="preserve">за 1 </w:t>
      </w:r>
      <w:r>
        <w:rPr>
          <w:sz w:val="28"/>
          <w:szCs w:val="28"/>
        </w:rPr>
        <w:t xml:space="preserve">полугодие </w:t>
      </w:r>
      <w:r>
        <w:rPr>
          <w:sz w:val="28"/>
          <w:szCs w:val="28"/>
        </w:rPr>
        <w:t>2024 года</w:t>
      </w:r>
      <w:r>
        <w:rPr>
          <w:szCs w:val="28"/>
        </w:rPr>
        <w:t xml:space="preserve"> по доходам в сумме </w:t>
      </w:r>
      <w:r>
        <w:rPr>
          <w:szCs w:val="28"/>
        </w:rPr>
        <w:t xml:space="preserve">38 662,7 </w:t>
      </w:r>
      <w:r>
        <w:rPr>
          <w:szCs w:val="28"/>
        </w:rPr>
        <w:t xml:space="preserve">тыс. рублей, по расходам </w:t>
      </w:r>
      <w:r>
        <w:rPr>
          <w:szCs w:val="28"/>
        </w:rPr>
        <w:t>37 218,8</w:t>
      </w:r>
      <w:r>
        <w:rPr>
          <w:szCs w:val="28"/>
        </w:rPr>
        <w:t xml:space="preserve"> тыс. рублей с превышением доходов над расходами (профицит бюджета поселения) в сумме </w:t>
      </w:r>
      <w:r>
        <w:rPr>
          <w:szCs w:val="28"/>
        </w:rPr>
        <w:t xml:space="preserve">1 443,9 </w:t>
      </w:r>
      <w:r>
        <w:rPr>
          <w:szCs w:val="28"/>
        </w:rPr>
        <w:t>тыс. рублей).</w:t>
      </w:r>
    </w:p>
    <w:p>
      <w:pPr>
        <w:pStyle w:val="ConsPlusNormal"/>
        <w:widowControl/>
        <w:spacing w:lineRule="auto" w:line="228"/>
        <w:ind w:firstLine="748"/>
        <w:rPr>
          <w:szCs w:val="28"/>
        </w:rPr>
      </w:pPr>
      <w:r>
        <w:rPr>
          <w:szCs w:val="28"/>
        </w:rPr>
        <w:t>Определить, что держателем оригинала отчета об исполнении бюджета</w:t>
      </w:r>
    </w:p>
    <w:p>
      <w:pPr>
        <w:pStyle w:val="ConsPlusNormal"/>
        <w:widowControl/>
        <w:spacing w:lineRule="auto" w:line="228"/>
        <w:ind w:firstLine="28" w:left="720"/>
        <w:jc w:val="both"/>
        <w:rPr>
          <w:szCs w:val="28"/>
        </w:rPr>
      </w:pPr>
      <w:r>
        <w:rPr>
          <w:szCs w:val="28"/>
        </w:rPr>
        <w:t xml:space="preserve">поселения </w:t>
      </w:r>
      <w:r>
        <w:rPr>
          <w:sz w:val="28"/>
          <w:szCs w:val="28"/>
        </w:rPr>
        <w:t xml:space="preserve">за 1 </w:t>
      </w:r>
      <w:r>
        <w:rPr>
          <w:sz w:val="28"/>
          <w:szCs w:val="28"/>
        </w:rPr>
        <w:t xml:space="preserve">полугодие </w:t>
      </w:r>
      <w:r>
        <w:rPr>
          <w:sz w:val="28"/>
          <w:szCs w:val="28"/>
        </w:rPr>
        <w:t xml:space="preserve">2024 года </w:t>
      </w:r>
      <w:r>
        <w:rPr>
          <w:szCs w:val="28"/>
        </w:rPr>
        <w:t>является сектор экономики и финансов Администрации Саркеловского сельского поселения.</w:t>
      </w:r>
    </w:p>
    <w:p>
      <w:pPr>
        <w:pStyle w:val="ConsPlusNormal"/>
        <w:widowControl/>
        <w:numPr>
          <w:ilvl w:val="0"/>
          <w:numId w:val="1"/>
        </w:numPr>
        <w:spacing w:lineRule="auto" w:line="228"/>
        <w:jc w:val="both"/>
        <w:rPr>
          <w:szCs w:val="28"/>
        </w:rPr>
      </w:pPr>
      <w:r>
        <w:rPr>
          <w:szCs w:val="28"/>
        </w:rPr>
        <w:t xml:space="preserve">В целях информирования населения поселения опубликовать сведения о ходе исполнения бюджета поселения за </w:t>
      </w:r>
      <w:r>
        <w:rPr>
          <w:sz w:val="28"/>
          <w:szCs w:val="28"/>
        </w:rPr>
        <w:t xml:space="preserve">за 1 </w:t>
      </w:r>
      <w:r>
        <w:rPr>
          <w:sz w:val="28"/>
          <w:szCs w:val="28"/>
        </w:rPr>
        <w:t xml:space="preserve">полугодие </w:t>
      </w:r>
      <w:r>
        <w:rPr>
          <w:sz w:val="28"/>
          <w:szCs w:val="28"/>
        </w:rPr>
        <w:t>2024 года</w:t>
      </w:r>
      <w:r>
        <w:rPr>
          <w:szCs w:val="28"/>
        </w:rPr>
        <w:t xml:space="preserve">, согласно приложению к настоящему постановлению. </w:t>
      </w:r>
    </w:p>
    <w:p>
      <w:pPr>
        <w:pStyle w:val="ConsPlusNormal"/>
        <w:widowControl/>
        <w:numPr>
          <w:ilvl w:val="0"/>
          <w:numId w:val="1"/>
        </w:numPr>
        <w:spacing w:lineRule="auto" w:line="228"/>
        <w:jc w:val="both"/>
        <w:rPr>
          <w:szCs w:val="28"/>
        </w:rPr>
      </w:pPr>
      <w:r>
        <w:rPr>
          <w:szCs w:val="28"/>
        </w:rPr>
        <w:t xml:space="preserve">Направить настоящее постановление и отчет об исполнении бюджета поселения за </w:t>
      </w:r>
      <w:r>
        <w:rPr>
          <w:sz w:val="28"/>
          <w:szCs w:val="28"/>
        </w:rPr>
        <w:t xml:space="preserve">1 </w:t>
      </w:r>
      <w:r>
        <w:rPr>
          <w:sz w:val="28"/>
          <w:szCs w:val="28"/>
        </w:rPr>
        <w:t xml:space="preserve">полугодие </w:t>
      </w:r>
      <w:r>
        <w:rPr>
          <w:sz w:val="28"/>
          <w:szCs w:val="28"/>
        </w:rPr>
        <w:t xml:space="preserve">2024 года </w:t>
      </w:r>
      <w:r>
        <w:rPr>
          <w:szCs w:val="28"/>
        </w:rPr>
        <w:t>в Собрание депутатов Саркеловского сельского поселения.</w:t>
      </w:r>
    </w:p>
    <w:p>
      <w:pPr>
        <w:pStyle w:val="ConsPlusNormal"/>
        <w:widowControl/>
        <w:numPr>
          <w:ilvl w:val="0"/>
          <w:numId w:val="1"/>
        </w:numPr>
        <w:spacing w:lineRule="auto" w:line="228"/>
        <w:rPr>
          <w:szCs w:val="28"/>
        </w:rPr>
      </w:pPr>
      <w:r>
        <w:rPr>
          <w:szCs w:val="28"/>
        </w:rPr>
        <w:t>Постановление вступает в силу с момента его подписания.</w:t>
      </w:r>
    </w:p>
    <w:p>
      <w:pPr>
        <w:pStyle w:val="ConsPlusNormal"/>
        <w:widowControl/>
        <w:numPr>
          <w:ilvl w:val="0"/>
          <w:numId w:val="1"/>
        </w:numPr>
        <w:spacing w:lineRule="auto" w:line="228"/>
        <w:jc w:val="both"/>
        <w:rPr>
          <w:szCs w:val="28"/>
        </w:rPr>
      </w:pPr>
      <w:r>
        <w:rPr>
          <w:szCs w:val="28"/>
        </w:rPr>
        <w:t>Контроль за выполнением постановления возложить на заведующего сектором экономики и финансов М.А.Маврат</w:t>
      </w:r>
    </w:p>
    <w:p>
      <w:pPr>
        <w:pStyle w:val="ConsPlusNormal"/>
        <w:widowControl/>
        <w:spacing w:lineRule="auto" w:line="228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suppressAutoHyphens w:val="true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>
      <w:pPr>
        <w:pStyle w:val="Normal"/>
        <w:suppressAutoHyphens w:val="true"/>
        <w:rPr>
          <w:sz w:val="28"/>
          <w:szCs w:val="28"/>
        </w:rPr>
      </w:pPr>
      <w:r>
        <w:rPr>
          <w:sz w:val="28"/>
          <w:szCs w:val="28"/>
        </w:rPr>
        <w:t>Саркеловского сельского поселения                                                     Г.А.Бурняшев</w:t>
      </w:r>
    </w:p>
    <w:p>
      <w:pPr>
        <w:pStyle w:val="Normal"/>
        <w:suppressAutoHyphens w:val="true"/>
        <w:rPr/>
      </w:pPr>
      <w:r>
        <w:rPr/>
      </w:r>
      <w:r>
        <w:br w:type="page"/>
      </w:r>
    </w:p>
    <w:p>
      <w:pPr>
        <w:pStyle w:val="Heading5"/>
        <w:spacing w:before="0" w:after="0"/>
        <w:ind w:hanging="1260" w:left="5760"/>
        <w:jc w:val="right"/>
        <w:rPr>
          <w:b w:val="false"/>
          <w:i w:val="false"/>
          <w:i w:val="false"/>
          <w:sz w:val="28"/>
          <w:szCs w:val="28"/>
        </w:rPr>
      </w:pPr>
      <w:r>
        <w:rPr>
          <w:b w:val="false"/>
          <w:i w:val="false"/>
          <w:sz w:val="28"/>
          <w:szCs w:val="28"/>
        </w:rPr>
        <w:t xml:space="preserve">  </w:t>
      </w:r>
      <w:r>
        <w:rPr>
          <w:b w:val="false"/>
          <w:i w:val="false"/>
          <w:sz w:val="28"/>
          <w:szCs w:val="28"/>
        </w:rPr>
        <w:t>Приложение к постановлению</w:t>
      </w:r>
    </w:p>
    <w:p>
      <w:pPr>
        <w:pStyle w:val="Normal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  <w:r>
        <w:rPr>
          <w:sz w:val="28"/>
          <w:szCs w:val="28"/>
        </w:rPr>
        <w:t xml:space="preserve">Администрации Саркеловского </w:t>
      </w:r>
    </w:p>
    <w:p>
      <w:pPr>
        <w:pStyle w:val="Normal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>сельского поселения</w:t>
      </w:r>
    </w:p>
    <w:p>
      <w:pPr>
        <w:pStyle w:val="Normal"/>
        <w:ind w:left="623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>10</w:t>
      </w:r>
      <w:r>
        <w:rPr>
          <w:sz w:val="28"/>
          <w:szCs w:val="28"/>
        </w:rPr>
        <w:t>.0</w:t>
      </w:r>
      <w:r>
        <w:rPr>
          <w:sz w:val="28"/>
          <w:szCs w:val="28"/>
        </w:rPr>
        <w:t>7</w:t>
      </w:r>
      <w:r>
        <w:rPr>
          <w:sz w:val="28"/>
          <w:szCs w:val="28"/>
        </w:rPr>
        <w:t>.2024. №</w:t>
      </w:r>
      <w:r>
        <w:rPr>
          <w:sz w:val="28"/>
          <w:szCs w:val="28"/>
        </w:rPr>
        <w:t>68</w:t>
      </w:r>
      <w:r>
        <w:rPr>
          <w:sz w:val="28"/>
          <w:szCs w:val="28"/>
        </w:rPr>
        <w:t>/1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>СВЕДЕНИЯ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>о ходе исполнения бюджета поселения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 1 </w:t>
      </w:r>
      <w:r>
        <w:rPr>
          <w:sz w:val="28"/>
          <w:szCs w:val="28"/>
        </w:rPr>
        <w:t xml:space="preserve">полугодие </w:t>
      </w:r>
      <w:r>
        <w:rPr>
          <w:sz w:val="28"/>
          <w:szCs w:val="28"/>
        </w:rPr>
        <w:t>2024 года.</w:t>
      </w:r>
    </w:p>
    <w:p>
      <w:pPr>
        <w:pStyle w:val="Normal"/>
        <w:ind w:firstLine="374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Исполнение бюджета поселения за 1 </w:t>
      </w:r>
      <w:r>
        <w:rPr>
          <w:sz w:val="28"/>
          <w:szCs w:val="28"/>
        </w:rPr>
        <w:t xml:space="preserve">полугодие </w:t>
      </w:r>
      <w:r>
        <w:rPr>
          <w:sz w:val="28"/>
          <w:szCs w:val="28"/>
        </w:rPr>
        <w:t xml:space="preserve">2024 года составило по доходам в сумме </w:t>
      </w:r>
      <w:r>
        <w:rPr>
          <w:sz w:val="28"/>
          <w:szCs w:val="28"/>
        </w:rPr>
        <w:t>38 662,7</w:t>
      </w:r>
      <w:r>
        <w:rPr>
          <w:sz w:val="28"/>
          <w:szCs w:val="28"/>
        </w:rPr>
        <w:t xml:space="preserve"> тыс. рублей или  </w:t>
      </w:r>
      <w:r>
        <w:rPr>
          <w:sz w:val="28"/>
          <w:szCs w:val="28"/>
        </w:rPr>
        <w:t>54,4</w:t>
      </w:r>
      <w:r>
        <w:rPr>
          <w:sz w:val="28"/>
          <w:szCs w:val="28"/>
        </w:rPr>
        <w:t xml:space="preserve"> процентов к годовому плану, по расходам в сумме </w:t>
      </w:r>
      <w:r>
        <w:rPr>
          <w:sz w:val="28"/>
          <w:szCs w:val="28"/>
        </w:rPr>
        <w:t>37 218,8</w:t>
      </w:r>
      <w:r>
        <w:rPr>
          <w:sz w:val="28"/>
          <w:szCs w:val="28"/>
        </w:rPr>
        <w:t xml:space="preserve"> тыс. рублей или </w:t>
      </w:r>
      <w:r>
        <w:rPr>
          <w:sz w:val="28"/>
          <w:szCs w:val="28"/>
        </w:rPr>
        <w:t>54,1</w:t>
      </w:r>
      <w:r>
        <w:rPr>
          <w:sz w:val="28"/>
          <w:szCs w:val="28"/>
        </w:rPr>
        <w:t xml:space="preserve"> процентов к годовому плану. Профицит по итогам за1 </w:t>
      </w:r>
      <w:r>
        <w:rPr>
          <w:sz w:val="28"/>
          <w:szCs w:val="28"/>
        </w:rPr>
        <w:t xml:space="preserve">полугодие </w:t>
      </w:r>
      <w:r>
        <w:rPr>
          <w:sz w:val="28"/>
          <w:szCs w:val="28"/>
        </w:rPr>
        <w:t xml:space="preserve">2024 года составил </w:t>
      </w:r>
      <w:r>
        <w:rPr>
          <w:sz w:val="28"/>
          <w:szCs w:val="28"/>
        </w:rPr>
        <w:t>1 443,9</w:t>
      </w:r>
      <w:r>
        <w:rPr>
          <w:sz w:val="28"/>
          <w:szCs w:val="28"/>
        </w:rPr>
        <w:t xml:space="preserve">тыс. рублей. 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  <w:t xml:space="preserve">Информация об исполнении бюджета поселения за1 </w:t>
      </w:r>
      <w:r>
        <w:rPr>
          <w:sz w:val="28"/>
          <w:szCs w:val="28"/>
        </w:rPr>
        <w:t xml:space="preserve">полугодие </w:t>
      </w:r>
      <w:r>
        <w:rPr>
          <w:sz w:val="28"/>
          <w:szCs w:val="28"/>
        </w:rPr>
        <w:t>2024 года прилагается (Приложение №1).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  <w:t xml:space="preserve"> Сведения о численности и денежном содержании муниципальных служащих Саркеловского сельского поселения и работников муниципальных учреждений Саркеловского сельского поселения Цимлянского района за1 </w:t>
      </w:r>
      <w:r>
        <w:rPr>
          <w:sz w:val="28"/>
          <w:szCs w:val="28"/>
        </w:rPr>
        <w:t xml:space="preserve">полугодие </w:t>
      </w:r>
      <w:r>
        <w:rPr>
          <w:sz w:val="28"/>
          <w:szCs w:val="28"/>
        </w:rPr>
        <w:t>2024 года прилагаются (Приложение № 2)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  <w:t xml:space="preserve">Налоговые и неналоговые доходы  бюджета поселения исполнены в сумме </w:t>
      </w:r>
      <w:r>
        <w:rPr>
          <w:sz w:val="28"/>
          <w:szCs w:val="28"/>
        </w:rPr>
        <w:t xml:space="preserve">982,6 </w:t>
      </w:r>
      <w:r>
        <w:rPr>
          <w:sz w:val="28"/>
          <w:szCs w:val="28"/>
        </w:rPr>
        <w:t>тыс. рублей или 1</w:t>
      </w:r>
      <w:r>
        <w:rPr>
          <w:sz w:val="28"/>
          <w:szCs w:val="28"/>
        </w:rPr>
        <w:t>50</w:t>
      </w:r>
      <w:r>
        <w:rPr>
          <w:sz w:val="28"/>
          <w:szCs w:val="28"/>
        </w:rPr>
        <w:t xml:space="preserve">,9 процентов к годовым плановым назначениям.Объем безвозмездных поступлений в бюджет поселения за1 </w:t>
      </w:r>
      <w:r>
        <w:rPr>
          <w:sz w:val="28"/>
          <w:szCs w:val="28"/>
        </w:rPr>
        <w:t xml:space="preserve">полугодие </w:t>
      </w:r>
      <w:r>
        <w:rPr>
          <w:sz w:val="28"/>
          <w:szCs w:val="28"/>
        </w:rPr>
        <w:t xml:space="preserve">2024 года составил </w:t>
      </w:r>
      <w:r>
        <w:rPr>
          <w:sz w:val="28"/>
          <w:szCs w:val="28"/>
        </w:rPr>
        <w:t>37 680,1</w:t>
      </w:r>
      <w:r>
        <w:rPr>
          <w:sz w:val="28"/>
          <w:szCs w:val="28"/>
        </w:rPr>
        <w:t xml:space="preserve"> тыс. рублей, в том числе: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-дотация на выравнивание бюджетной обеспеченности </w:t>
      </w:r>
      <w:r>
        <w:rPr>
          <w:sz w:val="28"/>
          <w:szCs w:val="28"/>
        </w:rPr>
        <w:t xml:space="preserve">6830,0 </w:t>
      </w:r>
      <w:r>
        <w:rPr>
          <w:sz w:val="28"/>
          <w:szCs w:val="28"/>
        </w:rPr>
        <w:t>тыс. рублей;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-дотация по обеспечению сбалансированности бюджета </w:t>
      </w:r>
      <w:r>
        <w:rPr>
          <w:sz w:val="28"/>
          <w:szCs w:val="28"/>
        </w:rPr>
        <w:t>216,6</w:t>
      </w:r>
      <w:r>
        <w:rPr>
          <w:sz w:val="28"/>
          <w:szCs w:val="28"/>
        </w:rPr>
        <w:t xml:space="preserve"> тыс. рублей;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-субвенции </w:t>
      </w:r>
      <w:r>
        <w:rPr>
          <w:sz w:val="28"/>
          <w:szCs w:val="28"/>
        </w:rPr>
        <w:t>118,7</w:t>
      </w:r>
      <w:r>
        <w:rPr>
          <w:sz w:val="28"/>
          <w:szCs w:val="28"/>
        </w:rPr>
        <w:t xml:space="preserve"> тыс. рублей;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иные межбюджетные трансферты </w:t>
      </w:r>
      <w:r>
        <w:rPr>
          <w:sz w:val="28"/>
          <w:szCs w:val="28"/>
        </w:rPr>
        <w:t>30 514,8</w:t>
      </w:r>
      <w:r>
        <w:rPr>
          <w:sz w:val="28"/>
          <w:szCs w:val="28"/>
        </w:rPr>
        <w:t xml:space="preserve">  тыс. рублей</w:t>
      </w:r>
    </w:p>
    <w:p>
      <w:pPr>
        <w:pStyle w:val="Normal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Основные направления расходов  бюджета поселения: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Общегосударственные вопросы – </w:t>
      </w:r>
      <w:r>
        <w:rPr>
          <w:sz w:val="28"/>
          <w:szCs w:val="28"/>
        </w:rPr>
        <w:t>3051,2</w:t>
      </w:r>
      <w:r>
        <w:rPr>
          <w:sz w:val="28"/>
          <w:szCs w:val="28"/>
        </w:rPr>
        <w:t xml:space="preserve"> тыс. рублей (содержание органов управления, уплата налогов, сборов и других обязательных платежей, публикация НПА.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Национальная оборона – </w:t>
      </w:r>
      <w:r>
        <w:rPr>
          <w:sz w:val="28"/>
          <w:szCs w:val="28"/>
        </w:rPr>
        <w:t>118,5</w:t>
      </w:r>
      <w:r>
        <w:rPr>
          <w:sz w:val="28"/>
          <w:szCs w:val="28"/>
        </w:rPr>
        <w:t xml:space="preserve"> тыс. рублей содержание специалиста ПВУ.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3.Национальная безопасность – 3,2 тыс. рублей  расходы на техническое обслуживание огнетушителей 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Жилищно-коммунальное хозяйство –  </w:t>
      </w:r>
      <w:r>
        <w:rPr>
          <w:sz w:val="28"/>
          <w:szCs w:val="28"/>
        </w:rPr>
        <w:t>458,3</w:t>
      </w:r>
      <w:r>
        <w:rPr>
          <w:sz w:val="28"/>
          <w:szCs w:val="28"/>
        </w:rPr>
        <w:t xml:space="preserve"> тыс. рублей расходы на мероприятия по содержанию и переоборудованию  уличного освещения, включая оплату уличного освещения, благоустройство территории (покос травы и уборка территории).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4. Обеспечение деятельности учреждений культуры  </w:t>
      </w:r>
      <w:r>
        <w:rPr>
          <w:sz w:val="28"/>
          <w:szCs w:val="28"/>
        </w:rPr>
        <w:t>33 527,8</w:t>
      </w:r>
      <w:r>
        <w:rPr>
          <w:sz w:val="28"/>
          <w:szCs w:val="28"/>
        </w:rPr>
        <w:t xml:space="preserve"> тыс. рублей расходы на выполнений муниципальных заданий бюджетными учреждениями Саркеловского сельского поселения, а также </w:t>
      </w:r>
      <w:r>
        <w:rPr>
          <w:rFonts w:eastAsia="Calibri"/>
          <w:sz w:val="28"/>
          <w:szCs w:val="28"/>
          <w:lang w:eastAsia="en-US"/>
        </w:rPr>
        <w:t>расходы на работы по капитальному ремонту здания Муниципального бюджетного учреждения культуры Цимлянского района Саркеловского сельского поселения «Центральный дом культуры»</w:t>
      </w:r>
    </w:p>
    <w:p>
      <w:pPr>
        <w:pStyle w:val="Normal"/>
        <w:jc w:val="both"/>
        <w:rPr>
          <w:sz w:val="28"/>
          <w:szCs w:val="28"/>
          <w:highlight w:val="red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>5.Расходы на дополнительное образование работников муниципальных органов -</w:t>
      </w:r>
      <w:r>
        <w:rPr>
          <w:sz w:val="28"/>
          <w:szCs w:val="28"/>
        </w:rPr>
        <w:t>11</w:t>
      </w:r>
      <w:r>
        <w:rPr>
          <w:sz w:val="28"/>
          <w:szCs w:val="28"/>
        </w:rPr>
        <w:t>,0 тыс.рублей.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6. Социальная политика – </w:t>
      </w:r>
      <w:r>
        <w:rPr>
          <w:sz w:val="28"/>
          <w:szCs w:val="28"/>
        </w:rPr>
        <w:t>48,8</w:t>
      </w:r>
      <w:r>
        <w:rPr>
          <w:sz w:val="28"/>
          <w:szCs w:val="28"/>
        </w:rPr>
        <w:t xml:space="preserve"> тыс. рублей – выплата пенсии муниципальным служащим Саркеловского сельского поселения.   </w:t>
      </w:r>
    </w:p>
    <w:p>
      <w:pPr>
        <w:pStyle w:val="Normal"/>
        <w:jc w:val="both"/>
        <w:rPr>
          <w:highlight w:val="none"/>
          <w:shd w:fill="FFFFFF" w:val="clear"/>
        </w:rPr>
      </w:pPr>
      <w:r>
        <w:rPr>
          <w:shd w:fill="FFFFFF" w:val="clear"/>
        </w:rPr>
        <w:tab/>
      </w:r>
      <w:r>
        <w:rPr>
          <w:sz w:val="28"/>
          <w:szCs w:val="28"/>
          <w:shd w:fill="FFFFFF" w:val="clear"/>
        </w:rPr>
        <w:t xml:space="preserve">Расходы на содержание органов управления составили </w:t>
      </w:r>
      <w:r>
        <w:rPr>
          <w:sz w:val="28"/>
          <w:szCs w:val="28"/>
          <w:shd w:fill="FFFFFF" w:val="clear"/>
        </w:rPr>
        <w:t>3 023,2</w:t>
      </w:r>
      <w:r>
        <w:rPr>
          <w:sz w:val="28"/>
          <w:szCs w:val="28"/>
          <w:shd w:fill="FFFFFF" w:val="clear"/>
        </w:rPr>
        <w:t xml:space="preserve"> тыс. рублей.  </w:t>
      </w:r>
    </w:p>
    <w:p>
      <w:pPr>
        <w:pStyle w:val="Normal"/>
        <w:jc w:val="both"/>
        <w:rPr>
          <w:highlight w:val="none"/>
          <w:shd w:fill="FFFFFF" w:val="clear"/>
        </w:rPr>
      </w:pPr>
      <w:r>
        <w:rPr>
          <w:sz w:val="28"/>
          <w:szCs w:val="28"/>
          <w:shd w:fill="FFFFFF" w:val="clear"/>
        </w:rPr>
        <w:tab/>
        <w:t xml:space="preserve">Кредиторская задолженность бюджета поселения на 1 </w:t>
      </w:r>
      <w:r>
        <w:rPr>
          <w:sz w:val="28"/>
          <w:szCs w:val="28"/>
          <w:shd w:fill="FFFFFF" w:val="clear"/>
        </w:rPr>
        <w:t xml:space="preserve">полугодие </w:t>
      </w:r>
      <w:r>
        <w:rPr>
          <w:sz w:val="28"/>
          <w:szCs w:val="28"/>
          <w:shd w:fill="FFFFFF" w:val="clear"/>
        </w:rPr>
        <w:t xml:space="preserve">2024 года составила – </w:t>
      </w:r>
      <w:r>
        <w:rPr>
          <w:sz w:val="28"/>
          <w:szCs w:val="28"/>
          <w:shd w:fill="FFFFFF" w:val="clear"/>
        </w:rPr>
        <w:t>219,9</w:t>
      </w:r>
      <w:r>
        <w:rPr>
          <w:sz w:val="28"/>
          <w:szCs w:val="28"/>
          <w:shd w:fill="FFFFFF" w:val="clear"/>
        </w:rPr>
        <w:t xml:space="preserve"> тыс. рублей, в том числе кредиторская задолженность бюджетных учреждений – </w:t>
      </w:r>
      <w:r>
        <w:rPr>
          <w:sz w:val="28"/>
          <w:szCs w:val="28"/>
          <w:shd w:fill="FFFFFF" w:val="clear"/>
        </w:rPr>
        <w:t>77,1</w:t>
      </w:r>
      <w:r>
        <w:rPr>
          <w:sz w:val="28"/>
          <w:szCs w:val="28"/>
          <w:shd w:fill="FFFFFF" w:val="clear"/>
        </w:rPr>
        <w:t xml:space="preserve"> тыс. рублей.</w:t>
      </w:r>
    </w:p>
    <w:p>
      <w:pPr>
        <w:pStyle w:val="Normal"/>
        <w:ind w:firstLine="374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Просроченная кредиторская задолженность поселения  за1 </w:t>
      </w:r>
      <w:r>
        <w:rPr>
          <w:sz w:val="28"/>
          <w:szCs w:val="28"/>
        </w:rPr>
        <w:t xml:space="preserve">полугодие </w:t>
      </w:r>
      <w:r>
        <w:rPr>
          <w:sz w:val="28"/>
          <w:szCs w:val="28"/>
        </w:rPr>
        <w:t>2024 года отсутствует.</w:t>
      </w:r>
    </w:p>
    <w:p>
      <w:pPr>
        <w:pStyle w:val="Normal"/>
        <w:ind w:firstLine="374"/>
        <w:jc w:val="both"/>
        <w:rPr>
          <w:sz w:val="28"/>
          <w:szCs w:val="28"/>
        </w:rPr>
      </w:pPr>
      <w:r>
        <w:rPr>
          <w:sz w:val="28"/>
          <w:szCs w:val="28"/>
        </w:rPr>
        <w:tab/>
        <w:tab/>
        <w:t xml:space="preserve">На реализацию  муниципальных программ из бюджета поселения направлено </w:t>
      </w:r>
      <w:r>
        <w:rPr>
          <w:sz w:val="28"/>
          <w:szCs w:val="28"/>
        </w:rPr>
        <w:t>33 989,3</w:t>
      </w:r>
      <w:r>
        <w:rPr>
          <w:sz w:val="28"/>
          <w:szCs w:val="28"/>
        </w:rPr>
        <w:t xml:space="preserve">тыс. рублей, что составляет от общей суммы расходов </w:t>
      </w:r>
      <w:r>
        <w:rPr>
          <w:sz w:val="28"/>
          <w:szCs w:val="28"/>
        </w:rPr>
        <w:t>54,8</w:t>
      </w:r>
      <w:r>
        <w:rPr>
          <w:sz w:val="28"/>
          <w:szCs w:val="28"/>
        </w:rPr>
        <w:t xml:space="preserve"> процента. </w:t>
      </w:r>
    </w:p>
    <w:p>
      <w:pPr>
        <w:pStyle w:val="Normal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rPr>
          <w:sz w:val="28"/>
          <w:szCs w:val="28"/>
        </w:rPr>
      </w:pPr>
      <w:r>
        <w:rPr>
          <w:sz w:val="28"/>
          <w:szCs w:val="28"/>
        </w:rPr>
        <w:t>Заведующий сектором экономики и финансов                                       М.А.Маврат</w:t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tabs>
          <w:tab w:val="clear" w:pos="708"/>
          <w:tab w:val="left" w:pos="8790" w:leader="none"/>
        </w:tabs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W w:w="1036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5196"/>
        <w:gridCol w:w="5171"/>
      </w:tblGrid>
      <w:tr>
        <w:trPr>
          <w:trHeight w:val="1189" w:hRule="atLeast"/>
        </w:trPr>
        <w:tc>
          <w:tcPr>
            <w:tcW w:w="5196" w:type="dxa"/>
            <w:tcBorders/>
          </w:tcPr>
          <w:p>
            <w:pPr>
              <w:pStyle w:val="Normal"/>
              <w:ind w:left="-360"/>
              <w:jc w:val="right"/>
              <w:rPr/>
            </w:pPr>
            <w:r>
              <w:rPr/>
            </w:r>
          </w:p>
        </w:tc>
        <w:tc>
          <w:tcPr>
            <w:tcW w:w="5171" w:type="dxa"/>
            <w:tcBorders/>
          </w:tcPr>
          <w:p>
            <w:pPr>
              <w:pStyle w:val="ConsPlusNormal"/>
              <w:widowControl/>
              <w:jc w:val="right"/>
              <w:rPr>
                <w:szCs w:val="28"/>
              </w:rPr>
            </w:pPr>
            <w:r>
              <w:rPr>
                <w:szCs w:val="28"/>
              </w:rPr>
              <w:t>Приложение № 1</w:t>
            </w:r>
          </w:p>
          <w:p>
            <w:pPr>
              <w:pStyle w:val="ConsPlusNormal"/>
              <w:widowControl/>
              <w:jc w:val="right"/>
              <w:rPr>
                <w:szCs w:val="28"/>
              </w:rPr>
            </w:pPr>
            <w:r>
              <w:rPr>
                <w:szCs w:val="28"/>
              </w:rPr>
              <w:t>к сведениям о ходе исполнения</w:t>
            </w:r>
          </w:p>
          <w:p>
            <w:pPr>
              <w:pStyle w:val="ConsPlusNormal"/>
              <w:widowControl/>
              <w:jc w:val="right"/>
              <w:rPr>
                <w:szCs w:val="28"/>
              </w:rPr>
            </w:pPr>
            <w:r>
              <w:rPr>
                <w:szCs w:val="28"/>
              </w:rPr>
              <w:t>бюджета поселения</w:t>
            </w:r>
          </w:p>
          <w:p>
            <w:pPr>
              <w:pStyle w:val="ConsPlusNormal"/>
              <w:widowControl/>
              <w:spacing w:lineRule="auto" w:line="228"/>
              <w:jc w:val="both"/>
              <w:rPr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</w:t>
            </w:r>
            <w:r>
              <w:rPr>
                <w:sz w:val="28"/>
                <w:szCs w:val="28"/>
              </w:rPr>
              <w:t xml:space="preserve">за1 </w:t>
            </w:r>
            <w:r>
              <w:rPr>
                <w:sz w:val="28"/>
                <w:szCs w:val="28"/>
              </w:rPr>
              <w:t xml:space="preserve">полугодие </w:t>
            </w:r>
            <w:r>
              <w:rPr>
                <w:sz w:val="28"/>
                <w:szCs w:val="28"/>
              </w:rPr>
              <w:t>2024 года</w:t>
            </w:r>
          </w:p>
          <w:p>
            <w:pPr>
              <w:pStyle w:val="Normal"/>
              <w:jc w:val="right"/>
              <w:rPr/>
            </w:pPr>
            <w:r>
              <w:rPr/>
            </w:r>
          </w:p>
        </w:tc>
      </w:tr>
      <w:tr>
        <w:trPr/>
        <w:tc>
          <w:tcPr>
            <w:tcW w:w="10367" w:type="dxa"/>
            <w:gridSpan w:val="2"/>
            <w:tcBorders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ИНФОРМАЦИЯ</w:t>
            </w:r>
          </w:p>
        </w:tc>
      </w:tr>
      <w:tr>
        <w:trPr>
          <w:trHeight w:val="241" w:hRule="atLeast"/>
        </w:trPr>
        <w:tc>
          <w:tcPr>
            <w:tcW w:w="10367" w:type="dxa"/>
            <w:gridSpan w:val="2"/>
            <w:tcBorders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об исполнении бюджета поселения за  1 </w:t>
            </w:r>
            <w:r>
              <w:rPr>
                <w:bCs/>
                <w:sz w:val="28"/>
                <w:szCs w:val="28"/>
              </w:rPr>
              <w:t xml:space="preserve">полугодие </w:t>
            </w:r>
            <w:r>
              <w:rPr>
                <w:bCs/>
                <w:sz w:val="28"/>
                <w:szCs w:val="28"/>
              </w:rPr>
              <w:t>2024 года</w:t>
            </w:r>
          </w:p>
        </w:tc>
      </w:tr>
      <w:tr>
        <w:trPr/>
        <w:tc>
          <w:tcPr>
            <w:tcW w:w="10367" w:type="dxa"/>
            <w:gridSpan w:val="2"/>
            <w:tcBorders/>
          </w:tcPr>
          <w:p>
            <w:pPr>
              <w:pStyle w:val="Normal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тыс. рублей</w:t>
            </w:r>
          </w:p>
        </w:tc>
      </w:tr>
    </w:tbl>
    <w:p>
      <w:pPr>
        <w:pStyle w:val="Normal"/>
        <w:rPr>
          <w:sz w:val="8"/>
          <w:szCs w:val="20"/>
        </w:rPr>
      </w:pPr>
      <w:r>
        <w:rPr>
          <w:sz w:val="8"/>
          <w:szCs w:val="20"/>
        </w:rPr>
      </w:r>
    </w:p>
    <w:tbl>
      <w:tblPr>
        <w:tblW w:w="10496" w:type="dxa"/>
        <w:jc w:val="left"/>
        <w:tblInd w:w="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0"/>
        <w:gridCol w:w="6859"/>
        <w:gridCol w:w="2007"/>
        <w:gridCol w:w="1619"/>
      </w:tblGrid>
      <w:tr>
        <w:trPr>
          <w:trHeight w:val="270" w:hRule="atLeast"/>
        </w:trPr>
        <w:tc>
          <w:tcPr>
            <w:tcW w:w="10" w:type="dxa"/>
            <w:tcBorders/>
          </w:tcPr>
          <w:p>
            <w:pPr>
              <w:pStyle w:val="Normal"/>
              <w:ind w:left="-45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68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ind w:left="-453"/>
              <w:rPr>
                <w:sz w:val="28"/>
                <w:szCs w:val="28"/>
              </w:rPr>
            </w:pPr>
            <w:r>
              <w:rPr/>
            </w:r>
          </w:p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Наименование показателя</w:t>
            </w:r>
          </w:p>
          <w:p>
            <w:pPr>
              <w:pStyle w:val="Normal"/>
              <w:rPr>
                <w:sz w:val="28"/>
                <w:szCs w:val="28"/>
              </w:rPr>
            </w:pPr>
            <w:r>
              <w:rPr/>
            </w:r>
          </w:p>
        </w:tc>
        <w:tc>
          <w:tcPr>
            <w:tcW w:w="2007" w:type="dxa"/>
            <w:tcBorders>
              <w:top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Утвержденные</w:t>
            </w:r>
          </w:p>
        </w:tc>
        <w:tc>
          <w:tcPr>
            <w:tcW w:w="1619" w:type="dxa"/>
            <w:vMerge w:val="restart"/>
            <w:tcBorders>
              <w:top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Исполнено</w:t>
            </w:r>
          </w:p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>
          <w:trHeight w:val="199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6859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2007" w:type="dxa"/>
            <w:tcBorders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бюджетные</w:t>
            </w:r>
          </w:p>
        </w:tc>
        <w:tc>
          <w:tcPr>
            <w:tcW w:w="1619" w:type="dxa"/>
            <w:vMerge w:val="continue"/>
            <w:tcBorders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>
          <w:trHeight w:val="23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6859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2007" w:type="dxa"/>
            <w:tcBorders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назначения</w:t>
            </w:r>
          </w:p>
        </w:tc>
        <w:tc>
          <w:tcPr>
            <w:tcW w:w="1619" w:type="dxa"/>
            <w:vMerge w:val="continue"/>
            <w:tcBorders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>
          <w:trHeight w:val="199" w:hRule="atLeast"/>
        </w:trPr>
        <w:tc>
          <w:tcPr>
            <w:tcW w:w="10" w:type="dxa"/>
            <w:tcBorders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685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619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>
        <w:trPr>
          <w:trHeight w:val="319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</w:r>
          </w:p>
        </w:tc>
        <w:tc>
          <w:tcPr>
            <w:tcW w:w="685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Доходы бюджета - Всего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i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68 </w:t>
            </w:r>
            <w:r>
              <w:rPr>
                <w:b/>
                <w:i/>
                <w:sz w:val="28"/>
                <w:szCs w:val="28"/>
              </w:rPr>
              <w:t>543,5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i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38 662,7</w:t>
            </w:r>
          </w:p>
        </w:tc>
      </w:tr>
      <w:tr>
        <w:trPr>
          <w:trHeight w:val="48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929,2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982,6</w:t>
            </w:r>
          </w:p>
        </w:tc>
      </w:tr>
      <w:tr>
        <w:trPr>
          <w:trHeight w:val="31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426,0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186,2</w:t>
            </w:r>
          </w:p>
        </w:tc>
      </w:tr>
      <w:tr>
        <w:trPr>
          <w:trHeight w:val="28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Налог на доходы физических лиц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426,0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186,2</w:t>
            </w:r>
          </w:p>
        </w:tc>
      </w:tr>
      <w:tr>
        <w:trPr>
          <w:trHeight w:val="33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НАЛОГИ НА ИМУЩЕСТВО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1 263,0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679,1</w:t>
            </w:r>
          </w:p>
        </w:tc>
      </w:tr>
      <w:tr>
        <w:trPr>
          <w:trHeight w:val="25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Налог на имущество физических лиц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302,0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243,1</w:t>
            </w:r>
          </w:p>
        </w:tc>
      </w:tr>
      <w:tr>
        <w:trPr>
          <w:trHeight w:val="22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Земельный налог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961,0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436,0</w:t>
            </w:r>
          </w:p>
        </w:tc>
      </w:tr>
      <w:tr>
        <w:trPr>
          <w:trHeight w:val="25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ГОСУДАРСТВЕННАЯ ПОШЛИНА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</w:t>
            </w:r>
            <w:r>
              <w:rPr>
                <w:b/>
                <w:sz w:val="28"/>
                <w:szCs w:val="28"/>
              </w:rPr>
              <w:t>0,</w:t>
            </w:r>
            <w:r>
              <w:rPr>
                <w:b/>
                <w:sz w:val="28"/>
                <w:szCs w:val="28"/>
              </w:rPr>
              <w:t>4</w:t>
            </w:r>
          </w:p>
        </w:tc>
      </w:tr>
      <w:tr>
        <w:trPr>
          <w:trHeight w:val="979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>
              <w:rPr>
                <w:sz w:val="26"/>
                <w:szCs w:val="26"/>
              </w:rPr>
              <w:t>4</w:t>
            </w:r>
          </w:p>
        </w:tc>
      </w:tr>
      <w:tr>
        <w:trPr>
          <w:trHeight w:val="94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109,2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56,4</w:t>
            </w:r>
          </w:p>
        </w:tc>
      </w:tr>
      <w:tr>
        <w:trPr>
          <w:trHeight w:val="1864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109,2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56,4</w:t>
            </w:r>
          </w:p>
        </w:tc>
      </w:tr>
      <w:tr>
        <w:trPr>
          <w:trHeight w:val="364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49,7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0,0</w:t>
            </w:r>
          </w:p>
        </w:tc>
      </w:tr>
      <w:tr>
        <w:trPr>
          <w:trHeight w:val="364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Доходы от компенсации затрат государства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49,7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</w:tr>
      <w:tr>
        <w:trPr>
          <w:trHeight w:val="33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3,3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0,</w:t>
            </w:r>
            <w:r>
              <w:rPr>
                <w:b/>
                <w:sz w:val="28"/>
                <w:szCs w:val="28"/>
              </w:rPr>
              <w:t>4</w:t>
            </w:r>
          </w:p>
        </w:tc>
      </w:tr>
      <w:tr>
        <w:trPr>
          <w:trHeight w:val="72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  <w:r>
              <w:rPr>
                <w:sz w:val="26"/>
                <w:szCs w:val="26"/>
              </w:rPr>
              <w:t>3,3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  <w:r>
              <w:rPr>
                <w:sz w:val="26"/>
                <w:szCs w:val="26"/>
              </w:rPr>
              <w:t>0,</w:t>
            </w:r>
            <w:r>
              <w:rPr>
                <w:sz w:val="26"/>
                <w:szCs w:val="26"/>
              </w:rPr>
              <w:t>4</w:t>
            </w:r>
          </w:p>
        </w:tc>
      </w:tr>
      <w:tr>
        <w:trPr>
          <w:trHeight w:val="28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66 </w:t>
            </w:r>
            <w:r>
              <w:rPr>
                <w:b/>
                <w:sz w:val="28"/>
                <w:szCs w:val="28"/>
              </w:rPr>
              <w:t>614,3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37 680,2</w:t>
            </w:r>
          </w:p>
        </w:tc>
      </w:tr>
      <w:tr>
        <w:trPr>
          <w:trHeight w:val="108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66 </w:t>
            </w:r>
            <w:r>
              <w:rPr>
                <w:b/>
                <w:sz w:val="28"/>
                <w:szCs w:val="28"/>
              </w:rPr>
              <w:t>614,3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37 680,2</w:t>
            </w:r>
          </w:p>
        </w:tc>
      </w:tr>
      <w:tr>
        <w:trPr>
          <w:trHeight w:val="73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11 811,3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7 046,6</w:t>
            </w:r>
          </w:p>
        </w:tc>
      </w:tr>
      <w:tr>
        <w:trPr>
          <w:trHeight w:val="61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352,8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118,7</w:t>
            </w:r>
          </w:p>
        </w:tc>
      </w:tr>
      <w:tr>
        <w:trPr>
          <w:trHeight w:val="51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Иные межбюджетные трансферты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54 </w:t>
            </w:r>
            <w:r>
              <w:rPr>
                <w:sz w:val="26"/>
                <w:szCs w:val="26"/>
              </w:rPr>
              <w:t>450,2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30 514,8</w:t>
            </w:r>
          </w:p>
        </w:tc>
      </w:tr>
      <w:tr>
        <w:trPr>
          <w:trHeight w:val="34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</w:r>
          </w:p>
        </w:tc>
        <w:tc>
          <w:tcPr>
            <w:tcW w:w="6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ИТОГО ДОХОДОВ: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68 </w:t>
            </w:r>
            <w:r>
              <w:rPr>
                <w:b/>
                <w:sz w:val="26"/>
                <w:szCs w:val="26"/>
              </w:rPr>
              <w:t>543,5</w:t>
            </w:r>
          </w:p>
        </w:tc>
        <w:tc>
          <w:tcPr>
            <w:tcW w:w="16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38 662,7</w:t>
            </w:r>
          </w:p>
        </w:tc>
      </w:tr>
      <w:tr>
        <w:trPr>
          <w:trHeight w:val="255" w:hRule="atLeast"/>
        </w:trPr>
        <w:tc>
          <w:tcPr>
            <w:tcW w:w="10" w:type="dxa"/>
            <w:tcBorders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РАСХОДЫ: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</w:tr>
      <w:tr>
        <w:trPr>
          <w:trHeight w:val="45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6 </w:t>
            </w:r>
            <w:r>
              <w:rPr>
                <w:b/>
                <w:sz w:val="28"/>
                <w:szCs w:val="28"/>
              </w:rPr>
              <w:t>308,5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</w:t>
            </w:r>
            <w:r>
              <w:rPr>
                <w:b/>
                <w:sz w:val="28"/>
                <w:szCs w:val="28"/>
              </w:rPr>
              <w:t>3 051,2</w:t>
            </w:r>
          </w:p>
        </w:tc>
      </w:tr>
      <w:tr>
        <w:trPr>
          <w:trHeight w:val="135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6 </w:t>
            </w:r>
            <w:r>
              <w:rPr>
                <w:sz w:val="26"/>
                <w:szCs w:val="26"/>
              </w:rPr>
              <w:t>239,4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3 023,2</w:t>
            </w:r>
          </w:p>
        </w:tc>
      </w:tr>
      <w:tr>
        <w:trPr>
          <w:trHeight w:val="43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Другие общегосударственные вопросы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  <w:r>
              <w:rPr>
                <w:sz w:val="26"/>
                <w:szCs w:val="26"/>
              </w:rPr>
              <w:t>9</w:t>
            </w:r>
            <w:r>
              <w:rPr>
                <w:sz w:val="26"/>
                <w:szCs w:val="26"/>
              </w:rPr>
              <w:t>,1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</w:t>
            </w:r>
            <w:r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7,9</w:t>
            </w:r>
          </w:p>
        </w:tc>
      </w:tr>
      <w:tr>
        <w:trPr>
          <w:trHeight w:val="36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НАЦИОНАЛЬНАЯ ОБОРОНА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352,6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</w:t>
            </w:r>
            <w:r>
              <w:rPr>
                <w:b/>
                <w:sz w:val="28"/>
                <w:szCs w:val="28"/>
              </w:rPr>
              <w:t>118,5</w:t>
            </w:r>
          </w:p>
        </w:tc>
      </w:tr>
      <w:tr>
        <w:trPr>
          <w:trHeight w:val="49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Мобилизационная и вневойсковая подготовка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352,6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</w:t>
            </w:r>
            <w:r>
              <w:rPr>
                <w:sz w:val="26"/>
                <w:szCs w:val="26"/>
              </w:rPr>
              <w:t>118,5</w:t>
            </w:r>
          </w:p>
        </w:tc>
      </w:tr>
      <w:tr>
        <w:trPr>
          <w:trHeight w:val="75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3,2</w:t>
            </w:r>
          </w:p>
        </w:tc>
      </w:tr>
      <w:tr>
        <w:trPr>
          <w:trHeight w:val="598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3,2</w:t>
            </w:r>
          </w:p>
        </w:tc>
      </w:tr>
      <w:tr>
        <w:trPr>
          <w:trHeight w:val="51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</w:t>
            </w:r>
            <w:r>
              <w:rPr>
                <w:b/>
                <w:sz w:val="28"/>
                <w:szCs w:val="28"/>
              </w:rPr>
              <w:t xml:space="preserve">5 </w:t>
            </w:r>
            <w:r>
              <w:rPr>
                <w:b/>
                <w:sz w:val="28"/>
                <w:szCs w:val="28"/>
              </w:rPr>
              <w:t>999</w:t>
            </w:r>
            <w:r>
              <w:rPr>
                <w:b/>
                <w:sz w:val="28"/>
                <w:szCs w:val="28"/>
              </w:rPr>
              <w:t>,</w:t>
            </w:r>
            <w:r>
              <w:rPr>
                <w:b/>
                <w:sz w:val="28"/>
                <w:szCs w:val="28"/>
              </w:rPr>
              <w:t>9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458,3</w:t>
            </w:r>
          </w:p>
        </w:tc>
      </w:tr>
      <w:tr>
        <w:trPr>
          <w:trHeight w:val="27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Жилищное хозяйство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</w:t>
            </w:r>
            <w:r>
              <w:rPr>
                <w:sz w:val="26"/>
                <w:szCs w:val="26"/>
              </w:rPr>
              <w:t>5082,3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139,2</w:t>
            </w:r>
          </w:p>
        </w:tc>
      </w:tr>
      <w:tr>
        <w:trPr>
          <w:trHeight w:val="27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Коммунальное хозяйство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44,2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</w:tr>
      <w:tr>
        <w:trPr>
          <w:trHeight w:val="30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Благоустройство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873,4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</w:t>
            </w:r>
            <w:r>
              <w:rPr>
                <w:sz w:val="26"/>
                <w:szCs w:val="26"/>
              </w:rPr>
              <w:t>319,1</w:t>
            </w:r>
          </w:p>
        </w:tc>
      </w:tr>
      <w:tr>
        <w:trPr>
          <w:trHeight w:val="30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ОХРАНА ОКРУЖАЮЩЕЙ СРЕДЫ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</w:t>
            </w:r>
            <w:r>
              <w:rPr>
                <w:b/>
                <w:sz w:val="26"/>
                <w:szCs w:val="26"/>
              </w:rPr>
              <w:t>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0,0</w:t>
            </w:r>
          </w:p>
        </w:tc>
      </w:tr>
      <w:tr>
        <w:trPr>
          <w:trHeight w:val="30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Другие вопросы в области охраны окружающей среды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</w:tr>
      <w:tr>
        <w:trPr>
          <w:trHeight w:val="30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ОБРАЗОВАНИЕ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  <w:r>
              <w:rPr>
                <w:b/>
                <w:sz w:val="26"/>
                <w:szCs w:val="26"/>
              </w:rPr>
              <w:t>5</w:t>
            </w:r>
            <w:r>
              <w:rPr>
                <w:b/>
                <w:sz w:val="26"/>
                <w:szCs w:val="26"/>
              </w:rPr>
              <w:t>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11</w:t>
            </w:r>
            <w:r>
              <w:rPr>
                <w:b/>
                <w:sz w:val="26"/>
                <w:szCs w:val="26"/>
              </w:rPr>
              <w:t>,0</w:t>
            </w:r>
          </w:p>
        </w:tc>
      </w:tr>
      <w:tr>
        <w:trPr>
          <w:trHeight w:val="30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  <w:r>
              <w:rPr>
                <w:sz w:val="26"/>
                <w:szCs w:val="26"/>
              </w:rPr>
              <w:t>,0</w:t>
            </w:r>
          </w:p>
        </w:tc>
      </w:tr>
      <w:tr>
        <w:trPr>
          <w:trHeight w:val="24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КУЛЬТУРА И КИНЕМАТОГРАФИЯ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55 </w:t>
            </w:r>
            <w:r>
              <w:rPr>
                <w:b/>
                <w:sz w:val="28"/>
                <w:szCs w:val="28"/>
              </w:rPr>
              <w:t>989,3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33 527,8</w:t>
            </w:r>
          </w:p>
        </w:tc>
      </w:tr>
      <w:tr>
        <w:trPr>
          <w:trHeight w:val="28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Культура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55 </w:t>
            </w:r>
            <w:r>
              <w:rPr>
                <w:sz w:val="26"/>
                <w:szCs w:val="26"/>
              </w:rPr>
              <w:t>989,3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33 527,8</w:t>
            </w:r>
          </w:p>
        </w:tc>
      </w:tr>
      <w:tr>
        <w:trPr>
          <w:trHeight w:val="31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СОЦИАЛЬНАЯ ПОЛИТИКА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90,1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48,8</w:t>
            </w:r>
          </w:p>
        </w:tc>
      </w:tr>
      <w:tr>
        <w:trPr>
          <w:trHeight w:val="31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Пенсионное обеспечение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890,1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48,8</w:t>
            </w:r>
          </w:p>
        </w:tc>
      </w:tr>
      <w:tr>
        <w:trPr>
          <w:trHeight w:val="31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ФИЗИЧЕСКАЯ КУЛЬТУРА И СПОРТ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5,0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0,0</w:t>
            </w:r>
          </w:p>
        </w:tc>
      </w:tr>
      <w:tr>
        <w:trPr>
          <w:trHeight w:val="31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Мероприятия в области физической культуры и спорта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</w:tr>
      <w:tr>
        <w:trPr>
          <w:trHeight w:val="19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ИТОГО РАСХОДОВ: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68 </w:t>
            </w:r>
            <w:r>
              <w:rPr>
                <w:b/>
                <w:sz w:val="28"/>
                <w:szCs w:val="28"/>
              </w:rPr>
              <w:t>776,4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37 218,8</w:t>
            </w:r>
          </w:p>
        </w:tc>
      </w:tr>
      <w:tr>
        <w:trPr>
          <w:trHeight w:val="254" w:hRule="atLeast"/>
        </w:trPr>
        <w:tc>
          <w:tcPr>
            <w:tcW w:w="68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ДЕФИЦИТ (-), ПРОФИЦИТ (+)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232,9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1443,9</w:t>
            </w:r>
          </w:p>
        </w:tc>
      </w:tr>
      <w:tr>
        <w:trPr>
          <w:trHeight w:val="254" w:hRule="atLeast"/>
        </w:trPr>
        <w:tc>
          <w:tcPr>
            <w:tcW w:w="68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Источники финансирования дефицитов бюджетов, всего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232,9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  <w:r>
              <w:rPr>
                <w:color w:val="000000"/>
                <w:sz w:val="28"/>
                <w:szCs w:val="28"/>
              </w:rPr>
              <w:t>1443,9</w:t>
            </w:r>
          </w:p>
        </w:tc>
      </w:tr>
      <w:tr>
        <w:trPr>
          <w:trHeight w:val="254" w:hRule="atLeast"/>
        </w:trPr>
        <w:tc>
          <w:tcPr>
            <w:tcW w:w="68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  <w:r>
              <w:rPr>
                <w:b/>
                <w:sz w:val="28"/>
                <w:szCs w:val="28"/>
              </w:rPr>
              <w:t>232,9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-</w:t>
            </w:r>
            <w:r>
              <w:rPr>
                <w:b/>
                <w:color w:val="000000"/>
                <w:sz w:val="28"/>
                <w:szCs w:val="28"/>
              </w:rPr>
              <w:t>1443,9</w:t>
            </w:r>
          </w:p>
          <w:p>
            <w:pPr>
              <w:pStyle w:val="Normal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</w:r>
          </w:p>
        </w:tc>
      </w:tr>
      <w:tr>
        <w:trPr>
          <w:trHeight w:val="286" w:hRule="atLeast"/>
        </w:trPr>
        <w:tc>
          <w:tcPr>
            <w:tcW w:w="68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Изменение остатков средств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232,9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- </w:t>
            </w:r>
            <w:r>
              <w:rPr>
                <w:color w:val="000000"/>
                <w:sz w:val="28"/>
                <w:szCs w:val="28"/>
              </w:rPr>
              <w:t>1443,9</w:t>
            </w:r>
          </w:p>
          <w:p>
            <w:pPr>
              <w:pStyle w:val="Normal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</w:r>
          </w:p>
        </w:tc>
      </w:tr>
    </w:tbl>
    <w:p>
      <w:pPr>
        <w:pStyle w:val="Normal"/>
        <w:rPr>
          <w:sz w:val="8"/>
          <w:szCs w:val="20"/>
        </w:rPr>
      </w:pPr>
      <w:r>
        <w:rPr>
          <w:sz w:val="8"/>
          <w:szCs w:val="20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Заведующий сектором экономики и финансов                                       М.А.Маврат</w:t>
      </w:r>
      <w:r>
        <w:br w:type="page"/>
      </w:r>
    </w:p>
    <w:p>
      <w:pPr>
        <w:pStyle w:val="Normal"/>
        <w:spacing w:before="0" w:after="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2</w:t>
      </w:r>
    </w:p>
    <w:p>
      <w:pPr>
        <w:pStyle w:val="ConsPlusNormal"/>
        <w:widowControl/>
        <w:jc w:val="right"/>
        <w:rPr>
          <w:szCs w:val="28"/>
        </w:rPr>
      </w:pPr>
      <w:r>
        <w:rPr>
          <w:szCs w:val="28"/>
        </w:rPr>
        <w:t>к сведениям о ходе исполнения</w:t>
      </w:r>
    </w:p>
    <w:p>
      <w:pPr>
        <w:pStyle w:val="ConsPlusNormal"/>
        <w:jc w:val="right"/>
        <w:rPr/>
      </w:pPr>
      <w:r>
        <w:rPr/>
        <w:t>бюджета поселения</w:t>
      </w:r>
    </w:p>
    <w:p>
      <w:pPr>
        <w:pStyle w:val="ConsPlusNormal"/>
        <w:widowControl/>
        <w:spacing w:lineRule="auto" w:line="228"/>
        <w:jc w:val="right"/>
        <w:rPr/>
      </w:pPr>
      <w:r>
        <w:rPr>
          <w:sz w:val="28"/>
          <w:szCs w:val="28"/>
        </w:rPr>
        <w:t xml:space="preserve">за1 </w:t>
      </w:r>
      <w:r>
        <w:rPr>
          <w:sz w:val="28"/>
          <w:szCs w:val="28"/>
        </w:rPr>
        <w:t xml:space="preserve">полугодие </w:t>
      </w:r>
      <w:r>
        <w:rPr>
          <w:sz w:val="28"/>
          <w:szCs w:val="28"/>
        </w:rPr>
        <w:t>2024 года</w:t>
      </w:r>
    </w:p>
    <w:p>
      <w:pPr>
        <w:pStyle w:val="Normal"/>
        <w:tabs>
          <w:tab w:val="clear" w:pos="708"/>
          <w:tab w:val="left" w:pos="7650" w:leader="none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>
      <w:pPr>
        <w:pStyle w:val="Normal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>о численности и денежном содержании работников Администрации Саркеловского сельского поселения и работников муниципальных учреждений Саркеловского сельского поселения Цимлянского района</w:t>
      </w:r>
    </w:p>
    <w:p>
      <w:pPr>
        <w:pStyle w:val="ConsPlusNormal"/>
        <w:widowControl/>
        <w:spacing w:lineRule="auto" w:line="228"/>
        <w:jc w:val="center"/>
        <w:rPr/>
      </w:pPr>
      <w:r>
        <w:rPr>
          <w:sz w:val="28"/>
          <w:szCs w:val="28"/>
        </w:rPr>
        <w:t xml:space="preserve">за1 </w:t>
      </w:r>
      <w:r>
        <w:rPr>
          <w:sz w:val="28"/>
          <w:szCs w:val="28"/>
        </w:rPr>
        <w:t xml:space="preserve">полугодие </w:t>
      </w:r>
      <w:r>
        <w:rPr>
          <w:sz w:val="28"/>
          <w:szCs w:val="28"/>
        </w:rPr>
        <w:t>2024 года</w:t>
      </w:r>
    </w:p>
    <w:tbl>
      <w:tblPr>
        <w:tblW w:w="9889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0" w:firstColumn="1" w:lastColumn="0" w:noHBand="0" w:val="00a0"/>
      </w:tblPr>
      <w:tblGrid>
        <w:gridCol w:w="675"/>
        <w:gridCol w:w="6522"/>
        <w:gridCol w:w="1133"/>
        <w:gridCol w:w="1558"/>
      </w:tblGrid>
      <w:tr>
        <w:trPr/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</w:p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п/п</w:t>
            </w:r>
          </w:p>
        </w:tc>
        <w:tc>
          <w:tcPr>
            <w:tcW w:w="6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учреждения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Количество</w:t>
            </w:r>
          </w:p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(чел.)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Расходы на</w:t>
            </w:r>
          </w:p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денежное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содержание, (тыс. руб.)</w:t>
            </w:r>
          </w:p>
        </w:tc>
      </w:tr>
    </w:tbl>
    <w:p>
      <w:pPr>
        <w:pStyle w:val="Normal"/>
        <w:jc w:val="center"/>
        <w:rPr>
          <w:sz w:val="4"/>
          <w:szCs w:val="4"/>
        </w:rPr>
      </w:pPr>
      <w:r>
        <w:rPr>
          <w:sz w:val="4"/>
          <w:szCs w:val="4"/>
        </w:rPr>
      </w:r>
    </w:p>
    <w:tbl>
      <w:tblPr>
        <w:tblW w:w="9889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0" w:firstColumn="1" w:lastColumn="0" w:noHBand="0" w:val="00a0"/>
      </w:tblPr>
      <w:tblGrid>
        <w:gridCol w:w="675"/>
        <w:gridCol w:w="6522"/>
        <w:gridCol w:w="1133"/>
        <w:gridCol w:w="1558"/>
      </w:tblGrid>
      <w:tr>
        <w:trPr>
          <w:tblHeader w:val="true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6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</w:tr>
      <w:tr>
        <w:trPr/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6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uppressAutoHyphens w:val="true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Администрация Саркеловского сельского поселения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   </w:t>
            </w:r>
            <w:r>
              <w:rPr>
                <w:color w:val="000000"/>
                <w:sz w:val="28"/>
                <w:szCs w:val="28"/>
                <w:lang w:eastAsia="en-US"/>
              </w:rPr>
              <w:t>11,0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   </w:t>
            </w:r>
            <w:r>
              <w:rPr>
                <w:color w:val="000000"/>
                <w:sz w:val="28"/>
                <w:szCs w:val="28"/>
                <w:lang w:eastAsia="en-US"/>
              </w:rPr>
              <w:t>2 755,2</w:t>
            </w:r>
          </w:p>
        </w:tc>
      </w:tr>
      <w:tr>
        <w:trPr/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6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uppressAutoHyphens w:val="true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Муниципальные бюджетные учреждения в сфере культуры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6,0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  </w:t>
            </w:r>
            <w:r>
              <w:rPr>
                <w:color w:val="000000"/>
                <w:sz w:val="28"/>
                <w:szCs w:val="28"/>
                <w:lang w:eastAsia="en-US"/>
              </w:rPr>
              <w:t>1431,0</w:t>
            </w:r>
          </w:p>
        </w:tc>
      </w:tr>
      <w:tr>
        <w:trPr/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</w:r>
          </w:p>
        </w:tc>
        <w:tc>
          <w:tcPr>
            <w:tcW w:w="6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Итого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  </w:t>
            </w:r>
            <w:r>
              <w:rPr>
                <w:color w:val="000000"/>
                <w:sz w:val="28"/>
                <w:szCs w:val="28"/>
                <w:lang w:eastAsia="en-US"/>
              </w:rPr>
              <w:t>16,0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>
              <w:rPr>
                <w:color w:val="000000"/>
                <w:sz w:val="28"/>
                <w:szCs w:val="28"/>
                <w:lang w:eastAsia="en-US"/>
              </w:rPr>
              <w:t>4 186,2</w:t>
            </w:r>
          </w:p>
        </w:tc>
      </w:tr>
    </w:tbl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Заведующий сектором экономики и финансов                                 М.А.Маврат </w:t>
      </w:r>
    </w:p>
    <w:p>
      <w:pPr>
        <w:pStyle w:val="Normal"/>
        <w:suppressAutoHyphens w:val="true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uppressAutoHyphens w:val="true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uppressAutoHyphens w:val="true"/>
        <w:rPr>
          <w:sz w:val="28"/>
          <w:szCs w:val="28"/>
        </w:rPr>
      </w:pPr>
      <w:r>
        <w:rPr>
          <w:sz w:val="28"/>
          <w:szCs w:val="28"/>
        </w:rPr>
      </w:r>
    </w:p>
    <w:sectPr>
      <w:headerReference w:type="even" r:id="rId3"/>
      <w:headerReference w:type="default" r:id="rId4"/>
      <w:headerReference w:type="first" r:id="rId5"/>
      <w:type w:val="nextPage"/>
      <w:pgSz w:w="11906" w:h="16838"/>
      <w:pgMar w:left="1080" w:right="1080" w:gutter="0" w:header="709" w:top="820" w:footer="0" w:bottom="144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charset w:val="cc"/>
    <w:family w:val="swiss"/>
    <w:pitch w:val="variable"/>
  </w:font>
  <w:font w:name="Courier New">
    <w:charset w:val="cc"/>
    <w:family w:val="auto"/>
    <w:pitch w:val="variable"/>
  </w:font>
  <w:font w:name="Arial">
    <w:charset w:val="cc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ae61ba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Heading5">
    <w:name w:val="heading 5"/>
    <w:basedOn w:val="Normal"/>
    <w:next w:val="Normal"/>
    <w:qFormat/>
    <w:rsid w:val="004c3276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pple-converted-space" w:customStyle="1">
    <w:name w:val="apple-converted-space"/>
    <w:basedOn w:val="DefaultParagraphFont"/>
    <w:qFormat/>
    <w:rsid w:val="005b3ae9"/>
    <w:rPr/>
  </w:style>
  <w:style w:type="character" w:styleId="Style13" w:customStyle="1">
    <w:name w:val="Верхний колонтитул Знак"/>
    <w:uiPriority w:val="99"/>
    <w:qFormat/>
    <w:rsid w:val="00e316cf"/>
    <w:rPr>
      <w:sz w:val="24"/>
      <w:szCs w:val="24"/>
    </w:rPr>
  </w:style>
  <w:style w:type="character" w:styleId="Style14" w:customStyle="1">
    <w:name w:val="Нижний колонтитул Знак"/>
    <w:qFormat/>
    <w:rsid w:val="00e316cf"/>
    <w:rPr>
      <w:sz w:val="24"/>
      <w:szCs w:val="24"/>
    </w:rPr>
  </w:style>
  <w:style w:type="paragraph" w:styleId="Style15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rsid w:val="004c3276"/>
    <w:pPr>
      <w:spacing w:before="0" w:after="12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semiHidden/>
    <w:qFormat/>
    <w:rsid w:val="00e72f86"/>
    <w:pPr/>
    <w:rPr>
      <w:rFonts w:ascii="Tahoma" w:hAnsi="Tahoma" w:cs="Tahoma"/>
      <w:sz w:val="16"/>
      <w:szCs w:val="16"/>
    </w:rPr>
  </w:style>
  <w:style w:type="paragraph" w:styleId="ConsPlusNonformat" w:customStyle="1">
    <w:name w:val="ConsPlusNonformat"/>
    <w:qFormat/>
    <w:rsid w:val="0091144a"/>
    <w:pPr>
      <w:widowControl/>
      <w:suppressAutoHyphens w:val="true"/>
      <w:bidi w:val="0"/>
      <w:spacing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ListParagraph">
    <w:name w:val="List Paragraph"/>
    <w:basedOn w:val="Normal"/>
    <w:qFormat/>
    <w:rsid w:val="00a42bdb"/>
    <w:pPr>
      <w:spacing w:before="0" w:after="0"/>
      <w:ind w:left="720"/>
      <w:contextualSpacing/>
    </w:pPr>
    <w:rPr/>
  </w:style>
  <w:style w:type="paragraph" w:styleId="ConsPlusNormal" w:customStyle="1">
    <w:name w:val="ConsPlusNormal"/>
    <w:qFormat/>
    <w:rsid w:val="00af3478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paragraph" w:styleId="ConsPlusTitle" w:customStyle="1">
    <w:name w:val="ConsPlusTitle"/>
    <w:qFormat/>
    <w:rsid w:val="004c3276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Times New Roman" w:cs="Arial"/>
      <w:b/>
      <w:bCs/>
      <w:color w:val="auto"/>
      <w:kern w:val="0"/>
      <w:sz w:val="20"/>
      <w:szCs w:val="20"/>
      <w:lang w:val="ru-RU" w:eastAsia="ru-RU" w:bidi="ar-SA"/>
    </w:rPr>
  </w:style>
  <w:style w:type="paragraph" w:styleId="ConsNormal" w:customStyle="1">
    <w:name w:val="ConsNormal"/>
    <w:qFormat/>
    <w:rsid w:val="004c3276"/>
    <w:pPr>
      <w:widowControl w:val="false"/>
      <w:suppressAutoHyphens w:val="true"/>
      <w:bidi w:val="0"/>
      <w:spacing w:before="0" w:after="0"/>
      <w:ind w:firstLine="720" w:right="19772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1" w:customStyle="1">
    <w:name w:val="Обычный1"/>
    <w:qFormat/>
    <w:rsid w:val="004c3276"/>
    <w:pPr>
      <w:widowControl w:val="false"/>
      <w:suppressAutoHyphens w:val="true"/>
      <w:bidi w:val="0"/>
      <w:spacing w:lineRule="auto" w:line="300" w:before="0" w:after="0"/>
      <w:ind w:firstLine="720" w:left="4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0"/>
      <w:lang w:val="ru-RU" w:eastAsia="ru-RU" w:bidi="ar-SA"/>
    </w:rPr>
  </w:style>
  <w:style w:type="paragraph" w:styleId="11" w:customStyle="1">
    <w:name w:val="Знак Знак Знак1 Знак"/>
    <w:basedOn w:val="Normal"/>
    <w:qFormat/>
    <w:rsid w:val="004c3276"/>
    <w:pPr>
      <w:spacing w:beforeAutospacing="1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12" w:customStyle="1">
    <w:name w:val="Знак1"/>
    <w:basedOn w:val="Normal"/>
    <w:qFormat/>
    <w:rsid w:val="000b6427"/>
    <w:pPr>
      <w:spacing w:beforeAutospacing="1" w:afterAutospacing="1"/>
    </w:pPr>
    <w:rPr>
      <w:rFonts w:ascii="Tahoma" w:hAnsi="Tahoma"/>
      <w:sz w:val="20"/>
      <w:szCs w:val="20"/>
      <w:lang w:val="en-US" w:eastAsia="en-US"/>
    </w:rPr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Style13"/>
    <w:uiPriority w:val="99"/>
    <w:rsid w:val="00e316cf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Footer">
    <w:name w:val="footer"/>
    <w:basedOn w:val="Normal"/>
    <w:link w:val="Style14"/>
    <w:rsid w:val="00e316cf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17">
    <w:name w:val="Содержимое таблицы"/>
    <w:basedOn w:val="Normal"/>
    <w:qFormat/>
    <w:pPr>
      <w:widowControl w:val="false"/>
      <w:suppressLineNumbers/>
    </w:pPr>
    <w:rPr/>
  </w:style>
  <w:style w:type="paragraph" w:styleId="Style18">
    <w:name w:val="Заголовок таблицы"/>
    <w:basedOn w:val="Style17"/>
    <w:qFormat/>
    <w:pPr>
      <w:suppressLineNumbers/>
      <w:jc w:val="center"/>
    </w:pPr>
    <w:rPr>
      <w:b/>
      <w:bCs/>
    </w:rPr>
  </w:style>
  <w:style w:type="numbering" w:styleId="Style19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Application>LibreOffice/24.8.4.2$Windows_X86_64 LibreOffice_project/bb3cfa12c7b1bf994ecc5649a80400d06cd71002</Application>
  <AppVersion>15.0000</AppVersion>
  <Pages>7</Pages>
  <Words>1077</Words>
  <Characters>7356</Characters>
  <CharactersWithSpaces>9220</CharactersWithSpaces>
  <Paragraphs>240</Paragraphs>
  <Company>Home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2023-07-25T13:09:00Z</dcterms:created>
  <dc:creator>Виктория</dc:creator>
  <dc:description/>
  <dc:language>ru-RU</dc:language>
  <cp:lastModifiedBy/>
  <cp:lastPrinted>2023-07-25T13:00:00Z</cp:lastPrinted>
  <dcterms:modified xsi:type="dcterms:W3CDTF">2025-01-21T13:06:36Z</dcterms:modified>
  <cp:revision>6</cp:revision>
  <dc:subject/>
  <dc:title>АДМИНИСТРАЦИЯ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