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6" w:rsidRDefault="00C5795D" w:rsidP="006648B6">
      <w:pPr>
        <w:pStyle w:val="3"/>
        <w:numPr>
          <w:ilvl w:val="0"/>
          <w:numId w:val="0"/>
        </w:numPr>
        <w:jc w:val="center"/>
        <w:rPr>
          <w:color w:val="auto"/>
        </w:rPr>
      </w:pPr>
      <w:bookmarkStart w:id="0" w:name="_Toc311193758"/>
      <w:r>
        <w:rPr>
          <w:color w:val="auto"/>
        </w:rPr>
        <w:t>ОЦЕНКА</w:t>
      </w:r>
      <w:r w:rsidR="00450D96" w:rsidRPr="00FD29FE">
        <w:rPr>
          <w:color w:val="auto"/>
        </w:rPr>
        <w:t xml:space="preserve"> </w:t>
      </w:r>
      <w:r>
        <w:rPr>
          <w:color w:val="auto"/>
        </w:rPr>
        <w:t>СОСТОЯНИЯ</w:t>
      </w:r>
      <w:r w:rsidR="00450D96" w:rsidRPr="00FD29FE">
        <w:rPr>
          <w:color w:val="auto"/>
        </w:rPr>
        <w:t xml:space="preserve"> </w:t>
      </w:r>
      <w:r>
        <w:rPr>
          <w:color w:val="auto"/>
        </w:rPr>
        <w:t>КОМПОНЕНТОВ</w:t>
      </w:r>
      <w:r w:rsidR="00450D96" w:rsidRPr="00FD29FE">
        <w:rPr>
          <w:color w:val="auto"/>
        </w:rPr>
        <w:t xml:space="preserve"> </w:t>
      </w:r>
      <w:r w:rsidR="006648B6">
        <w:rPr>
          <w:color w:val="auto"/>
        </w:rPr>
        <w:t>ОКРУЖАЮЩЕЙ</w:t>
      </w:r>
      <w:r w:rsidR="00450D96" w:rsidRPr="00FD29FE">
        <w:rPr>
          <w:color w:val="auto"/>
        </w:rPr>
        <w:t xml:space="preserve"> </w:t>
      </w:r>
      <w:bookmarkEnd w:id="0"/>
      <w:r w:rsidR="006648B6">
        <w:rPr>
          <w:color w:val="auto"/>
        </w:rPr>
        <w:t>СРЕДЫ</w:t>
      </w:r>
    </w:p>
    <w:p w:rsidR="006648B6" w:rsidRPr="006648B6" w:rsidRDefault="006648B6" w:rsidP="006648B6">
      <w:pPr>
        <w:rPr>
          <w:lang w:eastAsia="ru-RU"/>
        </w:rPr>
      </w:pPr>
    </w:p>
    <w:p w:rsidR="00450D96" w:rsidRPr="00FD29FE" w:rsidRDefault="006648B6" w:rsidP="006648B6">
      <w:pPr>
        <w:pStyle w:val="4"/>
        <w:numPr>
          <w:ilvl w:val="0"/>
          <w:numId w:val="0"/>
        </w:numPr>
        <w:ind w:left="1702"/>
        <w:rPr>
          <w:color w:val="auto"/>
        </w:rPr>
      </w:pPr>
      <w:bookmarkStart w:id="1" w:name="_Toc311193759"/>
      <w:r>
        <w:rPr>
          <w:color w:val="auto"/>
        </w:rPr>
        <w:t xml:space="preserve">1. </w:t>
      </w:r>
      <w:r w:rsidR="00450D96" w:rsidRPr="00FD29FE">
        <w:rPr>
          <w:color w:val="auto"/>
        </w:rPr>
        <w:t>Атмосферный воздух</w:t>
      </w:r>
      <w:bookmarkEnd w:id="1"/>
    </w:p>
    <w:p w:rsidR="00450D96" w:rsidRPr="00FD29FE" w:rsidRDefault="00450D96" w:rsidP="00450D96">
      <w:pPr>
        <w:pStyle w:val="002"/>
      </w:pPr>
      <w:r w:rsidRPr="00FD29FE">
        <w:t>В 2007 году мониторинг состояния атмосферного воздуха осуществлялся на 13 постах наблюдения загрязнения атмосферы (ПНЗ) основной государственной и дополнительной с</w:t>
      </w:r>
      <w:r w:rsidRPr="00FD29FE">
        <w:t>е</w:t>
      </w:r>
      <w:r w:rsidRPr="00FD29FE">
        <w:t>ти наблюдения в городах Азове, Волгодонске, Ростове-на-Дону, Таганроге, Шахтах и Ци</w:t>
      </w:r>
      <w:r w:rsidRPr="00FD29FE">
        <w:t>м</w:t>
      </w:r>
      <w:r w:rsidRPr="00FD29FE">
        <w:t>лянске. По итогам этого мониторинга было выявлено, что в г. Цимлянске индекс загрязнения атмосферы ИЗА менее 5. Таким образом, уровень загрязнения атмосферы в г. Цимлянске низкий, что можно сказать и о прилегающем Саркеловском сельском поселении.</w:t>
      </w:r>
    </w:p>
    <w:p w:rsidR="00450D96" w:rsidRPr="00FD29FE" w:rsidRDefault="00450D96" w:rsidP="00450D96">
      <w:pPr>
        <w:pStyle w:val="002"/>
      </w:pPr>
      <w:r w:rsidRPr="00FD29FE">
        <w:t>Наблюдения за загрязнением атмосферного воздуха проводились и на станции ГУ «Ростовский центр по гидрометеорологии и мониторингу окружающей среды с реги</w:t>
      </w:r>
      <w:r w:rsidRPr="00FD29FE">
        <w:t>о</w:t>
      </w:r>
      <w:r w:rsidRPr="00FD29FE">
        <w:t xml:space="preserve">нальными функциями», расположенной на территории Цимлянской гидрометобсерватории на берегу Цимлянского водохранилища. </w:t>
      </w:r>
    </w:p>
    <w:p w:rsidR="00450D96" w:rsidRPr="00FD29FE" w:rsidRDefault="00450D96" w:rsidP="00450D96">
      <w:pPr>
        <w:pStyle w:val="002"/>
      </w:pPr>
    </w:p>
    <w:p w:rsidR="00450D96" w:rsidRPr="00FD29FE" w:rsidRDefault="00450D96" w:rsidP="00450D96">
      <w:pPr>
        <w:pStyle w:val="00"/>
      </w:pPr>
      <w:r w:rsidRPr="00FD29FE">
        <w:t>Характеристики уровня загрязнения атмосферного воздуха в г. Цимлянске</w:t>
      </w:r>
    </w:p>
    <w:p w:rsidR="00450D96" w:rsidRPr="00FD29FE" w:rsidRDefault="00450D96" w:rsidP="00450D96">
      <w:pPr>
        <w:pStyle w:val="004"/>
      </w:pPr>
    </w:p>
    <w:tbl>
      <w:tblPr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1E0"/>
      </w:tblPr>
      <w:tblGrid>
        <w:gridCol w:w="1931"/>
        <w:gridCol w:w="1084"/>
        <w:gridCol w:w="1045"/>
        <w:gridCol w:w="960"/>
        <w:gridCol w:w="1320"/>
        <w:gridCol w:w="1200"/>
        <w:gridCol w:w="951"/>
        <w:gridCol w:w="1080"/>
      </w:tblGrid>
      <w:tr w:rsidR="00450D96" w:rsidRPr="00FD29FE" w:rsidTr="00450D96">
        <w:tc>
          <w:tcPr>
            <w:tcW w:w="0" w:type="auto"/>
            <w:vMerge w:val="restar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Примеси</w:t>
            </w:r>
          </w:p>
        </w:tc>
        <w:tc>
          <w:tcPr>
            <w:tcW w:w="0" w:type="auto"/>
            <w:vMerge w:val="restar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Номер поста</w:t>
            </w:r>
          </w:p>
        </w:tc>
        <w:tc>
          <w:tcPr>
            <w:tcW w:w="6556" w:type="dxa"/>
            <w:gridSpan w:val="6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Характеристики</w:t>
            </w:r>
          </w:p>
        </w:tc>
      </w:tr>
      <w:tr w:rsidR="00450D96" w:rsidRPr="00FD29FE" w:rsidTr="00450D96"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</w:p>
        </w:tc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</w:p>
        </w:tc>
        <w:tc>
          <w:tcPr>
            <w:tcW w:w="1045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qср.,</w:t>
            </w:r>
          </w:p>
          <w:p w:rsidR="00450D96" w:rsidRPr="00FD29FE" w:rsidRDefault="00450D96" w:rsidP="00450D96">
            <w:pPr>
              <w:pStyle w:val="003"/>
            </w:pPr>
            <w:r w:rsidRPr="00FD29FE">
              <w:t>мг/м</w:t>
            </w:r>
            <w:r w:rsidRPr="00FD29FE">
              <w:rPr>
                <w:vertAlign w:val="superscript"/>
              </w:rPr>
              <w:t>3</w:t>
            </w:r>
          </w:p>
        </w:tc>
        <w:tc>
          <w:tcPr>
            <w:tcW w:w="960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δ,</w:t>
            </w:r>
          </w:p>
          <w:p w:rsidR="00450D96" w:rsidRPr="00FD29FE" w:rsidRDefault="00450D96" w:rsidP="00450D96">
            <w:pPr>
              <w:pStyle w:val="003"/>
            </w:pPr>
            <w:r w:rsidRPr="00FD29FE">
              <w:t>мг/м</w:t>
            </w:r>
            <w:r w:rsidRPr="00FD29FE">
              <w:rPr>
                <w:vertAlign w:val="superscript"/>
              </w:rPr>
              <w:t>3</w:t>
            </w:r>
          </w:p>
        </w:tc>
        <w:tc>
          <w:tcPr>
            <w:tcW w:w="1320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qм,</w:t>
            </w:r>
          </w:p>
          <w:p w:rsidR="00450D96" w:rsidRPr="00FD29FE" w:rsidRDefault="00450D96" w:rsidP="00450D96">
            <w:pPr>
              <w:pStyle w:val="003"/>
            </w:pPr>
            <w:r w:rsidRPr="00FD29FE">
              <w:t>мг/м</w:t>
            </w:r>
            <w:r w:rsidRPr="00FD29FE">
              <w:rPr>
                <w:vertAlign w:val="superscript"/>
              </w:rPr>
              <w:t>3</w:t>
            </w:r>
          </w:p>
        </w:tc>
        <w:tc>
          <w:tcPr>
            <w:tcW w:w="1200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g, %</w:t>
            </w:r>
          </w:p>
        </w:tc>
        <w:tc>
          <w:tcPr>
            <w:tcW w:w="951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 xml:space="preserve">g1, % </w:t>
            </w:r>
          </w:p>
        </w:tc>
        <w:tc>
          <w:tcPr>
            <w:tcW w:w="1080" w:type="dxa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n</w:t>
            </w:r>
          </w:p>
        </w:tc>
      </w:tr>
      <w:tr w:rsidR="00450D96" w:rsidRPr="00FD29FE" w:rsidTr="00450D96">
        <w:trPr>
          <w:trHeight w:val="315"/>
        </w:trPr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 xml:space="preserve">Взвешенные </w:t>
            </w:r>
          </w:p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в-ва (пыль)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0,053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0,075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0,400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0,053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0,075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0,400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0,4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0,8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rPr>
          <w:trHeight w:val="333"/>
        </w:trPr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b/>
                <w:sz w:val="20"/>
              </w:rPr>
              <w:t>Диоксид серы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0,002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0,002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0,008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0,002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0,002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0,008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0,04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0,02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rPr>
          <w:trHeight w:val="309"/>
        </w:trPr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Оксид углерода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0,3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1,0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rPr>
          <w:trHeight w:val="314"/>
        </w:trPr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Диоксид азота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0,004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0,006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0,03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0,004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0,006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0,03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0,2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Оксид азота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0,003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0,005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0,030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0,003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0,005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0,030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0,1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Сероводород</w:t>
            </w:r>
          </w:p>
        </w:tc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  <w:lang w:val="en-US"/>
              </w:rPr>
              <w:t>&lt;</w:t>
            </w:r>
            <w:r w:rsidRPr="00FD29FE">
              <w:rPr>
                <w:sz w:val="20"/>
              </w:rPr>
              <w:t xml:space="preserve"> 0,001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0,001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0,003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  <w:lang w:val="en-US"/>
              </w:rPr>
              <w:t>&lt;</w:t>
            </w:r>
            <w:r w:rsidRPr="00FD29FE">
              <w:rPr>
                <w:sz w:val="20"/>
              </w:rPr>
              <w:t xml:space="preserve"> 0,001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0,001</w:t>
            </w: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0,003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906</w:t>
            </w:r>
          </w:p>
        </w:tc>
      </w:tr>
      <w:tr w:rsidR="00450D96" w:rsidRPr="00FD29FE" w:rsidTr="00450D96"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ПДК</w:t>
            </w:r>
          </w:p>
        </w:tc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-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0,4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rPr>
          <w:trHeight w:val="301"/>
        </w:trPr>
        <w:tc>
          <w:tcPr>
            <w:tcW w:w="0" w:type="auto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  <w:r w:rsidRPr="00FD29FE">
              <w:rPr>
                <w:sz w:val="20"/>
              </w:rPr>
              <w:t>В целом по городу СИ НП ИЗА</w:t>
            </w:r>
          </w:p>
        </w:tc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1,0</w:t>
            </w: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rPr>
          <w:trHeight w:val="337"/>
        </w:trPr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</w:t>
            </w: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  <w:tr w:rsidR="00450D96" w:rsidRPr="00FD29FE" w:rsidTr="00450D96">
        <w:tc>
          <w:tcPr>
            <w:tcW w:w="0" w:type="auto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45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  <w:r w:rsidRPr="00FD29FE">
              <w:rPr>
                <w:b/>
                <w:sz w:val="20"/>
              </w:rPr>
              <w:t>0,8</w:t>
            </w:r>
          </w:p>
        </w:tc>
        <w:tc>
          <w:tcPr>
            <w:tcW w:w="96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0D96" w:rsidRPr="00FD29FE" w:rsidRDefault="00450D96" w:rsidP="00450D96">
            <w:pPr>
              <w:pStyle w:val="a6"/>
              <w:rPr>
                <w:b/>
                <w:sz w:val="20"/>
              </w:rPr>
            </w:pPr>
          </w:p>
        </w:tc>
      </w:tr>
    </w:tbl>
    <w:p w:rsidR="00450D96" w:rsidRPr="00FD29FE" w:rsidRDefault="00450D96" w:rsidP="00450D96">
      <w:pPr>
        <w:pStyle w:val="a4"/>
        <w:rPr>
          <w:sz w:val="22"/>
        </w:rPr>
      </w:pPr>
    </w:p>
    <w:p w:rsidR="00450D96" w:rsidRPr="00FD29FE" w:rsidRDefault="00450D96" w:rsidP="00450D96">
      <w:pPr>
        <w:pStyle w:val="a4"/>
        <w:rPr>
          <w:szCs w:val="26"/>
        </w:rPr>
      </w:pPr>
      <w:r w:rsidRPr="00FD29FE">
        <w:rPr>
          <w:szCs w:val="26"/>
        </w:rPr>
        <w:t>По результатам наблюдений уровень загрязнения атмосферного воздуха низкий (ИЗА5=0,8) и определяется содержанием таких вредных примесей, как взвешенные вещес</w:t>
      </w:r>
      <w:r w:rsidRPr="00FD29FE">
        <w:rPr>
          <w:szCs w:val="26"/>
        </w:rPr>
        <w:t>т</w:t>
      </w:r>
      <w:r w:rsidRPr="00FD29FE">
        <w:rPr>
          <w:szCs w:val="26"/>
        </w:rPr>
        <w:t>ва, оксид углерода, окислы азота и диоксид серы.</w:t>
      </w:r>
    </w:p>
    <w:p w:rsidR="00450D96" w:rsidRPr="00FD29FE" w:rsidRDefault="00450D96" w:rsidP="00450D96">
      <w:pPr>
        <w:pStyle w:val="a4"/>
        <w:rPr>
          <w:szCs w:val="26"/>
        </w:rPr>
      </w:pPr>
    </w:p>
    <w:p w:rsidR="00450D96" w:rsidRPr="00FD29FE" w:rsidRDefault="00450D96" w:rsidP="00450D96">
      <w:pPr>
        <w:pStyle w:val="00"/>
      </w:pPr>
      <w:r w:rsidRPr="00FD29FE">
        <w:lastRenderedPageBreak/>
        <w:t>Динамика изменения уровня загрязнения атмосферного воздуха в г. Цимлянске (</w:t>
      </w:r>
      <w:r w:rsidRPr="00FD29FE">
        <w:rPr>
          <w:lang w:val="en-US"/>
        </w:rPr>
        <w:t>Q</w:t>
      </w:r>
      <w:r w:rsidRPr="00FD29FE">
        <w:rPr>
          <w:vertAlign w:val="subscript"/>
        </w:rPr>
        <w:t>ср.</w:t>
      </w:r>
      <w:r w:rsidRPr="00FD29FE">
        <w:t>, мг/м</w:t>
      </w:r>
      <w:r w:rsidRPr="00FD29FE">
        <w:rPr>
          <w:vertAlign w:val="superscript"/>
        </w:rPr>
        <w:t>3</w:t>
      </w:r>
      <w:r w:rsidRPr="00FD29FE">
        <w:t xml:space="preserve">) </w:t>
      </w:r>
    </w:p>
    <w:p w:rsidR="00450D96" w:rsidRPr="00FD29FE" w:rsidRDefault="00450D96" w:rsidP="00450D96">
      <w:pPr>
        <w:pStyle w:val="004"/>
      </w:pPr>
    </w:p>
    <w:tbl>
      <w:tblPr>
        <w:tblW w:w="5000" w:type="pct"/>
        <w:jc w:val="center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1E0"/>
      </w:tblPr>
      <w:tblGrid>
        <w:gridCol w:w="1694"/>
        <w:gridCol w:w="1869"/>
        <w:gridCol w:w="938"/>
        <w:gridCol w:w="938"/>
        <w:gridCol w:w="938"/>
        <w:gridCol w:w="813"/>
        <w:gridCol w:w="940"/>
        <w:gridCol w:w="1441"/>
      </w:tblGrid>
      <w:tr w:rsidR="00450D96" w:rsidRPr="00FD29FE" w:rsidTr="00450D96">
        <w:trPr>
          <w:jc w:val="center"/>
        </w:trPr>
        <w:tc>
          <w:tcPr>
            <w:tcW w:w="921" w:type="pct"/>
            <w:vMerge w:val="restar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Примесь</w:t>
            </w:r>
          </w:p>
        </w:tc>
        <w:tc>
          <w:tcPr>
            <w:tcW w:w="724" w:type="pct"/>
            <w:vMerge w:val="restar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Характеристика</w:t>
            </w:r>
          </w:p>
        </w:tc>
        <w:tc>
          <w:tcPr>
            <w:tcW w:w="2566" w:type="pct"/>
            <w:gridSpan w:val="5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Годы</w:t>
            </w:r>
          </w:p>
        </w:tc>
        <w:tc>
          <w:tcPr>
            <w:tcW w:w="789" w:type="pct"/>
            <w:vMerge w:val="restar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003"/>
            </w:pPr>
            <w:r w:rsidRPr="00FD29FE">
              <w:t>Тенденция, %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5"/>
            </w:pPr>
          </w:p>
        </w:tc>
        <w:tc>
          <w:tcPr>
            <w:tcW w:w="724" w:type="pct"/>
            <w:vMerge/>
            <w:vAlign w:val="center"/>
          </w:tcPr>
          <w:p w:rsidR="00450D96" w:rsidRPr="00FD29FE" w:rsidRDefault="00450D96" w:rsidP="00450D96">
            <w:pPr>
              <w:pStyle w:val="a5"/>
            </w:pPr>
          </w:p>
        </w:tc>
        <w:tc>
          <w:tcPr>
            <w:tcW w:w="526" w:type="pct"/>
            <w:shd w:val="clear" w:color="auto" w:fill="92CDDC" w:themeFill="accent5" w:themeFillTint="99"/>
          </w:tcPr>
          <w:p w:rsidR="00450D96" w:rsidRPr="00FD29FE" w:rsidRDefault="00450D96" w:rsidP="00450D96">
            <w:pPr>
              <w:pStyle w:val="003"/>
            </w:pPr>
            <w:r w:rsidRPr="00FD29FE">
              <w:t>2003</w:t>
            </w:r>
          </w:p>
        </w:tc>
        <w:tc>
          <w:tcPr>
            <w:tcW w:w="526" w:type="pct"/>
            <w:shd w:val="clear" w:color="auto" w:fill="92CDDC" w:themeFill="accent5" w:themeFillTint="99"/>
          </w:tcPr>
          <w:p w:rsidR="00450D96" w:rsidRPr="00FD29FE" w:rsidRDefault="00450D96" w:rsidP="00450D96">
            <w:pPr>
              <w:pStyle w:val="003"/>
            </w:pPr>
            <w:r w:rsidRPr="00FD29FE">
              <w:t>2004</w:t>
            </w:r>
          </w:p>
        </w:tc>
        <w:tc>
          <w:tcPr>
            <w:tcW w:w="526" w:type="pct"/>
            <w:shd w:val="clear" w:color="auto" w:fill="92CDDC" w:themeFill="accent5" w:themeFillTint="99"/>
          </w:tcPr>
          <w:p w:rsidR="00450D96" w:rsidRPr="00FD29FE" w:rsidRDefault="00450D96" w:rsidP="00450D96">
            <w:pPr>
              <w:pStyle w:val="003"/>
            </w:pPr>
            <w:r w:rsidRPr="00FD29FE">
              <w:t>2005</w:t>
            </w:r>
          </w:p>
        </w:tc>
        <w:tc>
          <w:tcPr>
            <w:tcW w:w="461" w:type="pct"/>
            <w:shd w:val="clear" w:color="auto" w:fill="92CDDC" w:themeFill="accent5" w:themeFillTint="99"/>
          </w:tcPr>
          <w:p w:rsidR="00450D96" w:rsidRPr="00FD29FE" w:rsidRDefault="00450D96" w:rsidP="00450D96">
            <w:pPr>
              <w:pStyle w:val="003"/>
            </w:pPr>
            <w:r w:rsidRPr="00FD29FE">
              <w:t>2006</w:t>
            </w:r>
          </w:p>
        </w:tc>
        <w:tc>
          <w:tcPr>
            <w:tcW w:w="526" w:type="pct"/>
            <w:shd w:val="clear" w:color="auto" w:fill="92CDDC" w:themeFill="accent5" w:themeFillTint="99"/>
          </w:tcPr>
          <w:p w:rsidR="00450D96" w:rsidRPr="00FD29FE" w:rsidRDefault="00450D96" w:rsidP="00450D96">
            <w:pPr>
              <w:pStyle w:val="003"/>
            </w:pPr>
            <w:r w:rsidRPr="00FD29FE">
              <w:t>2007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Пыль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&lt;0,1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&lt;0,1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&lt;0,1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0,1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2,2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0,4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1,2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0,8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trHeight w:val="90"/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Диоксид серы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0,023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0,004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0,002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0,03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Оксид углерода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0,4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0,4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5,0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1,0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Диоксид азота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0,02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 0,1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Оксид азота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 0,01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0,1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Сероводород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qср.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0,001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0,001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&lt; 0,001</w:t>
            </w:r>
          </w:p>
        </w:tc>
        <w:tc>
          <w:tcPr>
            <w:tcW w:w="789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0,9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0,5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0,3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0,4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</w:tr>
      <w:tr w:rsidR="00450D96" w:rsidRPr="00FD29FE" w:rsidTr="00450D96">
        <w:trPr>
          <w:trHeight w:val="223"/>
          <w:jc w:val="center"/>
        </w:trPr>
        <w:tc>
          <w:tcPr>
            <w:tcW w:w="921" w:type="pct"/>
            <w:vMerge w:val="restar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В целом по г</w:t>
            </w:r>
            <w:r w:rsidRPr="00FD29FE">
              <w:rPr>
                <w:sz w:val="22"/>
                <w:szCs w:val="22"/>
              </w:rPr>
              <w:t>о</w:t>
            </w:r>
            <w:r w:rsidRPr="00FD29FE">
              <w:rPr>
                <w:sz w:val="22"/>
                <w:szCs w:val="22"/>
              </w:rPr>
              <w:t>роду</w:t>
            </w: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СИ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2,2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0,5</w:t>
            </w:r>
          </w:p>
        </w:tc>
        <w:tc>
          <w:tcPr>
            <w:tcW w:w="461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5,0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НП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0,3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461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0,2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</w:t>
            </w:r>
          </w:p>
        </w:tc>
        <w:tc>
          <w:tcPr>
            <w:tcW w:w="789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  <w:tr w:rsidR="00450D96" w:rsidRPr="00FD29FE" w:rsidTr="00450D96">
        <w:trPr>
          <w:jc w:val="center"/>
        </w:trPr>
        <w:tc>
          <w:tcPr>
            <w:tcW w:w="921" w:type="pct"/>
            <w:vMerge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724" w:type="pct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ИЗА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1,5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0,6</w:t>
            </w:r>
          </w:p>
        </w:tc>
        <w:tc>
          <w:tcPr>
            <w:tcW w:w="461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1,1</w:t>
            </w:r>
          </w:p>
        </w:tc>
        <w:tc>
          <w:tcPr>
            <w:tcW w:w="526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0,8</w:t>
            </w:r>
          </w:p>
        </w:tc>
        <w:tc>
          <w:tcPr>
            <w:tcW w:w="789" w:type="pct"/>
            <w:vAlign w:val="center"/>
          </w:tcPr>
          <w:p w:rsidR="00450D96" w:rsidRPr="00FD29FE" w:rsidRDefault="00450D96" w:rsidP="00450D96">
            <w:pPr>
              <w:pStyle w:val="a6"/>
              <w:rPr>
                <w:szCs w:val="22"/>
              </w:rPr>
            </w:pPr>
            <w:r w:rsidRPr="00FD29FE">
              <w:rPr>
                <w:sz w:val="22"/>
                <w:szCs w:val="22"/>
              </w:rPr>
              <w:t>-</w:t>
            </w:r>
          </w:p>
        </w:tc>
      </w:tr>
    </w:tbl>
    <w:p w:rsidR="00450D96" w:rsidRPr="00FD29FE" w:rsidRDefault="00450D96" w:rsidP="00450D96">
      <w:pPr>
        <w:rPr>
          <w:lang w:eastAsia="ru-RU"/>
        </w:rPr>
      </w:pPr>
    </w:p>
    <w:p w:rsidR="00450D96" w:rsidRPr="00FD29FE" w:rsidRDefault="00816C02" w:rsidP="00816C02">
      <w:pPr>
        <w:pStyle w:val="4"/>
        <w:numPr>
          <w:ilvl w:val="0"/>
          <w:numId w:val="0"/>
        </w:numPr>
        <w:ind w:left="1997"/>
        <w:rPr>
          <w:color w:val="auto"/>
        </w:rPr>
      </w:pPr>
      <w:bookmarkStart w:id="2" w:name="_Toc311193760"/>
      <w:r>
        <w:rPr>
          <w:color w:val="auto"/>
        </w:rPr>
        <w:t xml:space="preserve">2. </w:t>
      </w:r>
      <w:r w:rsidR="00450D96" w:rsidRPr="00FD29FE">
        <w:rPr>
          <w:color w:val="auto"/>
        </w:rPr>
        <w:t>Качество поверхностных и подземных вод</w:t>
      </w:r>
      <w:bookmarkEnd w:id="2"/>
    </w:p>
    <w:p w:rsidR="00450D96" w:rsidRPr="00FD29FE" w:rsidRDefault="00450D96" w:rsidP="00450D96">
      <w:pPr>
        <w:pStyle w:val="002"/>
      </w:pPr>
      <w:r w:rsidRPr="00FD29FE">
        <w:t>На качество поверхностных вод Саркеловского сельского поселения непосредственно влияют очистные сооружения г. Цимлянска. Очистные сооружения расположены на окраине города, выпуск стоков визуально просматривается, сброс осуществляется с высоты 1,5-2,0 м, что способствует интенсивному перемешиванию и высокой аэрации.</w:t>
      </w:r>
    </w:p>
    <w:p w:rsidR="00450D96" w:rsidRPr="00FD29FE" w:rsidRDefault="00450D96" w:rsidP="00450D96">
      <w:pPr>
        <w:pStyle w:val="002"/>
      </w:pPr>
      <w:r w:rsidRPr="00FD29FE">
        <w:t xml:space="preserve">Пробы отбирались с середины реки, с моста, </w:t>
      </w:r>
      <w:smartTag w:uri="urn:schemas-microsoft-com:office:smarttags" w:element="metricconverter">
        <w:smartTagPr>
          <w:attr w:name="ProductID" w:val="0,5 м"/>
        </w:smartTagPr>
        <w:r w:rsidRPr="00FD29FE">
          <w:t>0,5 м</w:t>
        </w:r>
      </w:smartTag>
      <w:r w:rsidRPr="00FD29FE">
        <w:t xml:space="preserve"> от поверхности. Правый берег о</w:t>
      </w:r>
      <w:r w:rsidRPr="00FD29FE">
        <w:t>б</w:t>
      </w:r>
      <w:r w:rsidRPr="00FD29FE">
        <w:t>рывистый, левый – пологий. Вода мутная, течение быстрое.</w:t>
      </w:r>
    </w:p>
    <w:p w:rsidR="00450D96" w:rsidRPr="00FD29FE" w:rsidRDefault="00450D96" w:rsidP="00450D96">
      <w:pPr>
        <w:pStyle w:val="002"/>
      </w:pPr>
      <w:r w:rsidRPr="00FD29FE">
        <w:t xml:space="preserve">Температура воды в период с мая по сентябрь наблюдалась выше сезонной нормы. Максимальная температура воды зафиксирована в июне – 28,7 </w:t>
      </w:r>
      <w:r w:rsidRPr="00FD29FE">
        <w:rPr>
          <w:szCs w:val="24"/>
        </w:rPr>
        <w:sym w:font="Symbol" w:char="F0B0"/>
      </w:r>
      <w:r w:rsidRPr="00FD29FE">
        <w:t>С.</w:t>
      </w:r>
    </w:p>
    <w:p w:rsidR="00450D96" w:rsidRPr="00FD29FE" w:rsidRDefault="00450D96" w:rsidP="00450D96">
      <w:pPr>
        <w:pStyle w:val="002"/>
      </w:pPr>
      <w:r w:rsidRPr="00FD29FE">
        <w:t>Показатель среды рН варьировал в нейтральном диапазоне – 7,40-8,14 (в 2005 г. – 7,00-7,86; в 2006г. – 7,25- 9,60). Для нижнего створа в 2006-2007 гг. характерна склонность к щелочной реакции.</w:t>
      </w:r>
    </w:p>
    <w:p w:rsidR="00450D96" w:rsidRPr="00FD29FE" w:rsidRDefault="00450D96" w:rsidP="00450D96">
      <w:pPr>
        <w:pStyle w:val="002"/>
      </w:pPr>
      <w:r w:rsidRPr="00FD29FE">
        <w:t>Среднее содержание растворенного в воде кислорода в обоих створах разнилось н</w:t>
      </w:r>
      <w:r w:rsidRPr="00FD29FE">
        <w:t>е</w:t>
      </w:r>
      <w:r w:rsidRPr="00FD29FE">
        <w:t>значительно, средние величины равнялись: выше ОС –8,00 мгО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>, ниже ОС – 7,92 мгО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>. По сравнению с 2005-2006 гг., содержание кислорода уменьшилось (в 2005 г. – выше ОС – 9,99 мгО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>, ниже ОС – 9,78 мгО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 xml:space="preserve">; в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>. – 9,53 и 9,58 мг 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 xml:space="preserve"> – соответственно).</w:t>
      </w:r>
    </w:p>
    <w:p w:rsidR="00450D96" w:rsidRPr="00FD29FE" w:rsidRDefault="00450D96" w:rsidP="00450D96">
      <w:pPr>
        <w:pStyle w:val="002"/>
      </w:pPr>
      <w:r w:rsidRPr="00FD29FE">
        <w:lastRenderedPageBreak/>
        <w:t xml:space="preserve">Величины БПК5 в обоих створах равнозначны: выше ОС - 1,6 ПДК, ниже ОС – 1,7 ПДК. В верхнем створе значение БПК5, по сравнению с </w:t>
      </w:r>
      <w:smartTag w:uri="urn:schemas-microsoft-com:office:smarttags" w:element="metricconverter">
        <w:smartTagPr>
          <w:attr w:name="ProductID" w:val="2005 г"/>
        </w:smartTagPr>
        <w:r w:rsidRPr="00FD29FE">
          <w:t>2005 г</w:t>
        </w:r>
      </w:smartTag>
      <w:r w:rsidRPr="00FD29FE">
        <w:t xml:space="preserve">. увеличилось – на 0,2 ПДК, с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 xml:space="preserve"> – на 0,3 ПДК; в нижнем створе величина осталась на уровне </w:t>
      </w:r>
      <w:smartTag w:uri="urn:schemas-microsoft-com:office:smarttags" w:element="metricconverter">
        <w:smartTagPr>
          <w:attr w:name="ProductID" w:val="2005 г"/>
        </w:smartTagPr>
        <w:r w:rsidRPr="00FD29FE">
          <w:t>2005 г</w:t>
        </w:r>
      </w:smartTag>
      <w:r w:rsidRPr="00FD29FE">
        <w:t xml:space="preserve">., по сравнению с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>., возросла на 0,3 ПДК.</w:t>
      </w:r>
    </w:p>
    <w:p w:rsidR="00450D96" w:rsidRPr="00FD29FE" w:rsidRDefault="00450D96" w:rsidP="00450D96">
      <w:pPr>
        <w:pStyle w:val="002"/>
      </w:pPr>
      <w:r w:rsidRPr="00FD29FE">
        <w:t>Величина ХПК в створе ниже ОС отмечалась несколько выше и составила 34,3 мг 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>; выше ОС – 33,0 мг О</w:t>
      </w:r>
      <w:r w:rsidRPr="00FD29FE">
        <w:rPr>
          <w:vertAlign w:val="subscript"/>
        </w:rPr>
        <w:t>2</w:t>
      </w:r>
      <w:r w:rsidRPr="00FD29FE">
        <w:t>/дм</w:t>
      </w:r>
      <w:r w:rsidRPr="00FD29FE">
        <w:rPr>
          <w:vertAlign w:val="superscript"/>
        </w:rPr>
        <w:t>3</w:t>
      </w:r>
      <w:r w:rsidRPr="00FD29FE">
        <w:t xml:space="preserve">. По сравнению с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>., содержание ХПК осталось на прежнем уровне в обоих створах.</w:t>
      </w:r>
    </w:p>
    <w:p w:rsidR="00450D96" w:rsidRPr="00FD29FE" w:rsidRDefault="00450D96" w:rsidP="00450D96">
      <w:pPr>
        <w:pStyle w:val="002"/>
      </w:pPr>
      <w:r w:rsidRPr="00FD29FE">
        <w:t>Содержание взвешенных веществ в нижнем створе существенных изменений не пр</w:t>
      </w:r>
      <w:r w:rsidRPr="00FD29FE">
        <w:t>е</w:t>
      </w:r>
      <w:r w:rsidRPr="00FD29FE">
        <w:t>терпело, величины равнялись 51 и 60 мг/дм</w:t>
      </w:r>
      <w:r w:rsidRPr="00FD29FE">
        <w:rPr>
          <w:vertAlign w:val="superscript"/>
        </w:rPr>
        <w:t>3</w:t>
      </w:r>
      <w:r w:rsidRPr="00FD29FE">
        <w:t>.</w:t>
      </w:r>
    </w:p>
    <w:p w:rsidR="00450D96" w:rsidRPr="00FD29FE" w:rsidRDefault="00450D96" w:rsidP="00450D96">
      <w:pPr>
        <w:pStyle w:val="002"/>
      </w:pPr>
      <w:r w:rsidRPr="00FD29FE">
        <w:t>Содержание азота нитритного в нижнем створе на 0,6 ПДК меньше фонового и с</w:t>
      </w:r>
      <w:r w:rsidRPr="00FD29FE">
        <w:t>о</w:t>
      </w:r>
      <w:r w:rsidRPr="00FD29FE">
        <w:t xml:space="preserve">ставляет 5,1 ПДК. По сравнению с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>., значение нитритного азота в створе выше ОС во</w:t>
      </w:r>
      <w:r w:rsidRPr="00FD29FE">
        <w:t>з</w:t>
      </w:r>
      <w:r w:rsidRPr="00FD29FE">
        <w:t xml:space="preserve">росло с 2,4 до 5,7 ПДК, ниже ОС </w:t>
      </w:r>
      <w:r w:rsidRPr="00FD29FE">
        <w:rPr>
          <w:szCs w:val="24"/>
        </w:rPr>
        <w:sym w:font="Symbol" w:char="F02D"/>
      </w:r>
      <w:r w:rsidRPr="00FD29FE">
        <w:t xml:space="preserve"> с 4,0 до 5,1 ПДК. Средние величины азота нитратного и аммонийного, фосфатов остались на уровне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>. и не превышали ПДК.</w:t>
      </w:r>
    </w:p>
    <w:p w:rsidR="00450D96" w:rsidRPr="00FD29FE" w:rsidRDefault="00450D96" w:rsidP="00450D96">
      <w:pPr>
        <w:pStyle w:val="002"/>
      </w:pPr>
      <w:r w:rsidRPr="00FD29FE">
        <w:t xml:space="preserve">Величины УКИЗВ составили: выше ОС – 6,19, вода по качеству относится к 4 «Б» классу и оценивается как «грязная»; ниже ОС – 8,26, вода относится к 4 «Г» классу – оценка качества – «очень грязная». В </w:t>
      </w:r>
      <w:smartTag w:uri="urn:schemas-microsoft-com:office:smarttags" w:element="metricconverter">
        <w:smartTagPr>
          <w:attr w:name="ProductID" w:val="2006 г"/>
        </w:smartTagPr>
        <w:r w:rsidRPr="00FD29FE">
          <w:t>2006 г</w:t>
        </w:r>
      </w:smartTag>
      <w:r w:rsidRPr="00FD29FE">
        <w:t xml:space="preserve">. УКИЗВ составляли: выше ОС – 4,51, ниже ОС </w:t>
      </w:r>
      <w:r w:rsidRPr="00FD29FE">
        <w:rPr>
          <w:szCs w:val="24"/>
        </w:rPr>
        <w:sym w:font="Symbol" w:char="F02D"/>
      </w:r>
      <w:r w:rsidRPr="00FD29FE">
        <w:t xml:space="preserve"> 4,64, вода в обоих створах оценивалась как «грязная».</w:t>
      </w:r>
    </w:p>
    <w:p w:rsidR="00450D96" w:rsidRPr="00FD29FE" w:rsidRDefault="00450D96" w:rsidP="00450D96">
      <w:pPr>
        <w:pStyle w:val="002"/>
      </w:pPr>
      <w:r w:rsidRPr="00FD29FE">
        <w:t>На основании полученных данных и расчета УКИЗВ можно сделать вывод, что ОС по-прежнему оказывают сильное негативное влияние на качество воды, и ситуация ухудшается.</w:t>
      </w:r>
    </w:p>
    <w:p w:rsidR="00450D96" w:rsidRPr="00FD29FE" w:rsidRDefault="00450D96" w:rsidP="00450D96">
      <w:pPr>
        <w:pStyle w:val="002"/>
      </w:pPr>
      <w:r w:rsidRPr="00FD29FE">
        <w:t>Основной источник загрязнения воды – Цимлянская нефтебаза.</w:t>
      </w:r>
    </w:p>
    <w:p w:rsidR="00450D96" w:rsidRPr="00FD29FE" w:rsidRDefault="00450D96" w:rsidP="00450D96">
      <w:pPr>
        <w:pStyle w:val="002"/>
      </w:pPr>
      <w:r w:rsidRPr="00FD29FE">
        <w:t>Качество питьевой воды низкое в сравнении с другими районами Ростовской области, при этом заметно увеличился % проб, не отвечающих гигиеническим нормативам, по химическим показателям в последний год (соответственно по микробиологическим пок</w:t>
      </w:r>
      <w:r w:rsidRPr="00FD29FE">
        <w:t>а</w:t>
      </w:r>
      <w:r w:rsidRPr="00FD29FE">
        <w:t>зателям снизился). Данные по 4 годам приведены в таблице ниже.</w:t>
      </w:r>
    </w:p>
    <w:p w:rsidR="00450D96" w:rsidRPr="00FD29FE" w:rsidRDefault="00450D96" w:rsidP="00450D96">
      <w:pPr>
        <w:pStyle w:val="a8"/>
      </w:pPr>
    </w:p>
    <w:p w:rsidR="00450D96" w:rsidRPr="00FD29FE" w:rsidRDefault="00450D96" w:rsidP="00450D96">
      <w:pPr>
        <w:pStyle w:val="00"/>
      </w:pPr>
      <w:r w:rsidRPr="00FD29FE">
        <w:t>Качество питьевой воды в водопроводной сети Цимлянского района Ростовской области за период с 2004-2007 гг. % проб, несоответствующих гигиеническим нормативам</w:t>
      </w:r>
    </w:p>
    <w:p w:rsidR="00450D96" w:rsidRPr="00FD29FE" w:rsidRDefault="00450D96" w:rsidP="00450D96">
      <w:pPr>
        <w:pStyle w:val="004"/>
      </w:pPr>
    </w:p>
    <w:tbl>
      <w:tblPr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0A0"/>
      </w:tblPr>
      <w:tblGrid>
        <w:gridCol w:w="959"/>
        <w:gridCol w:w="4112"/>
        <w:gridCol w:w="4500"/>
      </w:tblGrid>
      <w:tr w:rsidR="00450D96" w:rsidRPr="00FD29FE" w:rsidTr="00450D96">
        <w:trPr>
          <w:tblHeader/>
        </w:trPr>
        <w:tc>
          <w:tcPr>
            <w:tcW w:w="501" w:type="pc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a5"/>
            </w:pPr>
            <w:r w:rsidRPr="00FD29FE">
              <w:t>года</w:t>
            </w:r>
          </w:p>
        </w:tc>
        <w:tc>
          <w:tcPr>
            <w:tcW w:w="2148" w:type="pc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a5"/>
            </w:pPr>
            <w:r w:rsidRPr="00FD29FE">
              <w:t>по химическим показателям</w:t>
            </w:r>
          </w:p>
        </w:tc>
        <w:tc>
          <w:tcPr>
            <w:tcW w:w="2351" w:type="pct"/>
            <w:shd w:val="clear" w:color="auto" w:fill="92CDDC" w:themeFill="accent5" w:themeFillTint="99"/>
            <w:vAlign w:val="center"/>
          </w:tcPr>
          <w:p w:rsidR="00450D96" w:rsidRPr="00FD29FE" w:rsidRDefault="00450D96" w:rsidP="00450D96">
            <w:pPr>
              <w:pStyle w:val="a5"/>
            </w:pPr>
            <w:r w:rsidRPr="00FD29FE">
              <w:t>по микробиологическим показателям</w:t>
            </w:r>
          </w:p>
        </w:tc>
      </w:tr>
      <w:tr w:rsidR="00450D96" w:rsidRPr="00FD29FE" w:rsidTr="00450D96">
        <w:tc>
          <w:tcPr>
            <w:tcW w:w="50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2004</w:t>
            </w:r>
          </w:p>
        </w:tc>
        <w:tc>
          <w:tcPr>
            <w:tcW w:w="2148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35,6</w:t>
            </w:r>
          </w:p>
        </w:tc>
        <w:tc>
          <w:tcPr>
            <w:tcW w:w="235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15,8</w:t>
            </w:r>
          </w:p>
        </w:tc>
      </w:tr>
      <w:tr w:rsidR="00450D96" w:rsidRPr="00FD29FE" w:rsidTr="00450D96">
        <w:tc>
          <w:tcPr>
            <w:tcW w:w="50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2005</w:t>
            </w:r>
          </w:p>
        </w:tc>
        <w:tc>
          <w:tcPr>
            <w:tcW w:w="2148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68,9</w:t>
            </w:r>
          </w:p>
        </w:tc>
        <w:tc>
          <w:tcPr>
            <w:tcW w:w="235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2,3</w:t>
            </w:r>
          </w:p>
        </w:tc>
      </w:tr>
      <w:tr w:rsidR="00450D96" w:rsidRPr="00FD29FE" w:rsidTr="00450D96">
        <w:tc>
          <w:tcPr>
            <w:tcW w:w="50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2006</w:t>
            </w:r>
          </w:p>
        </w:tc>
        <w:tc>
          <w:tcPr>
            <w:tcW w:w="2148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40,0</w:t>
            </w:r>
          </w:p>
        </w:tc>
        <w:tc>
          <w:tcPr>
            <w:tcW w:w="235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11,1</w:t>
            </w:r>
          </w:p>
        </w:tc>
      </w:tr>
      <w:tr w:rsidR="00450D96" w:rsidRPr="00FD29FE" w:rsidTr="00450D96">
        <w:tc>
          <w:tcPr>
            <w:tcW w:w="50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2007</w:t>
            </w:r>
          </w:p>
        </w:tc>
        <w:tc>
          <w:tcPr>
            <w:tcW w:w="2148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73,6</w:t>
            </w:r>
          </w:p>
        </w:tc>
        <w:tc>
          <w:tcPr>
            <w:tcW w:w="2351" w:type="pct"/>
          </w:tcPr>
          <w:p w:rsidR="00450D96" w:rsidRPr="00FD29FE" w:rsidRDefault="00450D96" w:rsidP="00450D96">
            <w:pPr>
              <w:pStyle w:val="a6"/>
            </w:pPr>
            <w:r w:rsidRPr="00FD29FE">
              <w:rPr>
                <w:sz w:val="22"/>
              </w:rPr>
              <w:t>4,5</w:t>
            </w:r>
          </w:p>
        </w:tc>
      </w:tr>
    </w:tbl>
    <w:p w:rsidR="00450D96" w:rsidRPr="00FD29FE" w:rsidRDefault="00450D96" w:rsidP="00450D96">
      <w:pPr>
        <w:pStyle w:val="002"/>
      </w:pPr>
    </w:p>
    <w:p w:rsidR="00450D96" w:rsidRPr="00FD29FE" w:rsidRDefault="00450D96" w:rsidP="00450D96">
      <w:pPr>
        <w:pStyle w:val="000"/>
      </w:pPr>
      <w:r w:rsidRPr="00FD29FE">
        <w:t>Состояние подземных вод</w:t>
      </w:r>
    </w:p>
    <w:p w:rsidR="00450D96" w:rsidRPr="00FD29FE" w:rsidRDefault="00450D96" w:rsidP="00450D96">
      <w:pPr>
        <w:pStyle w:val="002"/>
      </w:pPr>
      <w:r w:rsidRPr="00FD29FE">
        <w:t>Нефтепродуктовое загрязнение водоносных горизонтов представляет собой практич</w:t>
      </w:r>
      <w:r w:rsidRPr="00FD29FE">
        <w:t>е</w:t>
      </w:r>
      <w:r w:rsidRPr="00FD29FE">
        <w:t>ски необратимый процесс и реальную угрозу безопасному использованию ПВ для хозяйс</w:t>
      </w:r>
      <w:r w:rsidRPr="00FD29FE">
        <w:t>т</w:t>
      </w:r>
      <w:r w:rsidRPr="00FD29FE">
        <w:t>венно-питьевого водоснабжения населения. Ни один другой загрязнитель не может сра</w:t>
      </w:r>
      <w:r w:rsidRPr="00FD29FE">
        <w:t>в</w:t>
      </w:r>
      <w:r w:rsidRPr="00FD29FE">
        <w:t xml:space="preserve">ниться с нефтепродуктами по числу источников загрязнения и единовременной нагрузке на все компоненты окружающей среды. Установлено, что в местах хранения, распределения и транспортировки нефтепродуктов происходят их систематические потери и эпизодические аварийные проливы и, как следствие, загрязнение почвенного слоя, грунтов зоны аэрации, поверхностных, а, в конечном счете, и подземных вод. Объемы мониторинговых работ (за счет средств недропользователей) в этой сфере </w:t>
      </w:r>
      <w:r w:rsidRPr="00FD29FE">
        <w:lastRenderedPageBreak/>
        <w:t>хозяйственной деятельности незначител</w:t>
      </w:r>
      <w:r w:rsidRPr="00FD29FE">
        <w:t>ь</w:t>
      </w:r>
      <w:r w:rsidRPr="00FD29FE">
        <w:t>ны, по сравнению с большим количеством существующих и строящихся в последнее время на территории Ростовской области нефтеперекачивающих станций, нефтебаз, складов ГСМ и автозаправочных станций.</w:t>
      </w:r>
    </w:p>
    <w:p w:rsidR="00450D96" w:rsidRPr="00FD29FE" w:rsidRDefault="00450D96" w:rsidP="00450D96">
      <w:pPr>
        <w:pStyle w:val="002"/>
        <w:rPr>
          <w:szCs w:val="26"/>
        </w:rPr>
      </w:pPr>
      <w:r w:rsidRPr="00FD29FE">
        <w:t>По</w:t>
      </w:r>
      <w:r w:rsidRPr="00FD29FE">
        <w:rPr>
          <w:szCs w:val="26"/>
        </w:rPr>
        <w:t xml:space="preserve"> результатам проведенного Ростовским ТЦ ГМСН и другими организациями обсл</w:t>
      </w:r>
      <w:r w:rsidRPr="00FD29FE">
        <w:rPr>
          <w:szCs w:val="26"/>
        </w:rPr>
        <w:t>е</w:t>
      </w:r>
      <w:r w:rsidRPr="00FD29FE">
        <w:rPr>
          <w:szCs w:val="26"/>
        </w:rPr>
        <w:t xml:space="preserve">дования </w:t>
      </w:r>
      <w:r w:rsidRPr="00FD29FE">
        <w:t xml:space="preserve">на территории Цимлянской нефтеперекачивающей станции </w:t>
      </w:r>
      <w:r w:rsidRPr="00FD29FE">
        <w:rPr>
          <w:szCs w:val="26"/>
        </w:rPr>
        <w:t>установлено нефтепр</w:t>
      </w:r>
      <w:r w:rsidRPr="00FD29FE">
        <w:rPr>
          <w:szCs w:val="26"/>
        </w:rPr>
        <w:t>о</w:t>
      </w:r>
      <w:r w:rsidRPr="00FD29FE">
        <w:rPr>
          <w:szCs w:val="26"/>
        </w:rPr>
        <w:t>дуктовое загрязнение под</w:t>
      </w:r>
      <w:r w:rsidRPr="00FD29FE">
        <w:t xml:space="preserve">земных вод. </w:t>
      </w:r>
      <w:r w:rsidRPr="00FD29FE">
        <w:rPr>
          <w:szCs w:val="26"/>
        </w:rPr>
        <w:t>Характерным для нефтепродуктовых объектов явл</w:t>
      </w:r>
      <w:r w:rsidRPr="00FD29FE">
        <w:rPr>
          <w:szCs w:val="26"/>
        </w:rPr>
        <w:t>я</w:t>
      </w:r>
      <w:r w:rsidRPr="00FD29FE">
        <w:rPr>
          <w:szCs w:val="26"/>
        </w:rPr>
        <w:t>ются периодически отмечающиеся повышенные (до 2 ПДК) содержания нефтепродуктов в подземных водах артезианских скважин, из которых осуществляется водоснабжение п</w:t>
      </w:r>
      <w:r w:rsidRPr="00FD29FE">
        <w:rPr>
          <w:szCs w:val="26"/>
        </w:rPr>
        <w:t>о</w:t>
      </w:r>
      <w:r w:rsidRPr="00FD29FE">
        <w:rPr>
          <w:szCs w:val="26"/>
        </w:rPr>
        <w:t>добных предприятий.</w:t>
      </w:r>
    </w:p>
    <w:p w:rsidR="00450D96" w:rsidRPr="00FD29FE" w:rsidRDefault="00450D96" w:rsidP="00450D96">
      <w:pPr>
        <w:pStyle w:val="002"/>
      </w:pPr>
    </w:p>
    <w:p w:rsidR="00450D96" w:rsidRPr="00FD29FE" w:rsidRDefault="00450D96" w:rsidP="00F74CBE">
      <w:pPr>
        <w:pStyle w:val="4"/>
        <w:numPr>
          <w:ilvl w:val="0"/>
          <w:numId w:val="0"/>
        </w:numPr>
        <w:ind w:left="1702"/>
        <w:rPr>
          <w:color w:val="auto"/>
        </w:rPr>
      </w:pPr>
      <w:bookmarkStart w:id="3" w:name="_Toc311193761"/>
      <w:r w:rsidRPr="00FD29FE">
        <w:rPr>
          <w:color w:val="auto"/>
        </w:rPr>
        <w:t>Использование водных ресурсов</w:t>
      </w:r>
      <w:bookmarkEnd w:id="3"/>
    </w:p>
    <w:p w:rsidR="00450D96" w:rsidRPr="00FD29FE" w:rsidRDefault="00450D96" w:rsidP="00450D96">
      <w:pPr>
        <w:pStyle w:val="000"/>
      </w:pPr>
      <w:r w:rsidRPr="00FD29FE">
        <w:t>Подземные воды</w:t>
      </w:r>
    </w:p>
    <w:p w:rsidR="00450D96" w:rsidRPr="00FD29FE" w:rsidRDefault="00450D96" w:rsidP="00450D96">
      <w:pPr>
        <w:pStyle w:val="002"/>
      </w:pPr>
      <w:r w:rsidRPr="00FD29FE">
        <w:t xml:space="preserve">Основные безнапорные водоносные горизонты имеют ограниченное распространение, так как они связаны с участками, тяготеющими к поверхностным водоисточникам – крупным рекам и водохранилищам, воды в которых загрязнены. </w:t>
      </w:r>
    </w:p>
    <w:p w:rsidR="00450D96" w:rsidRPr="00FD29FE" w:rsidRDefault="00450D96" w:rsidP="00450D96">
      <w:pPr>
        <w:pStyle w:val="002"/>
      </w:pPr>
      <w:r w:rsidRPr="00FD29FE">
        <w:t>В последнее время роль подземных источников водоснабжения возрастает. В пределах разведанных водозаборных участков восточной части области наиболее часто встречаются подземные воды повышенной минерализации. Поэтому в качестве обязательного условия эксплуатации таких участков Территориальная комиссия по запасам и Государственная к</w:t>
      </w:r>
      <w:r w:rsidRPr="00FD29FE">
        <w:t>о</w:t>
      </w:r>
      <w:r w:rsidRPr="00FD29FE">
        <w:t>миссия по запасам рекомендует до подачи воды потребителям доводить эти показатели до нормы, согласованной с местными органами Госсанэпиднадзора, посредством смешения воды всех действующих скважин. По другим нормируемым показателям природного состо</w:t>
      </w:r>
      <w:r w:rsidRPr="00FD29FE">
        <w:t>я</w:t>
      </w:r>
      <w:r w:rsidRPr="00FD29FE">
        <w:t>ния подземных вод на отдельно разведанных участках отмечается наличие повышенного, относительно норм, содержания железа, марганца, хлоридов. Большинство разведанных уч</w:t>
      </w:r>
      <w:r w:rsidRPr="00FD29FE">
        <w:t>а</w:t>
      </w:r>
      <w:r w:rsidRPr="00FD29FE">
        <w:t>стков характеризуется недостаточным для источников централизованного хозяйственно-питьевого водоснабжения содержанием фтора.</w:t>
      </w:r>
    </w:p>
    <w:p w:rsidR="00450D96" w:rsidRPr="00FD29FE" w:rsidRDefault="00450D96" w:rsidP="00450D96">
      <w:pPr>
        <w:pStyle w:val="000"/>
      </w:pPr>
      <w:r w:rsidRPr="00FD29FE">
        <w:t>Поверхностные источники</w:t>
      </w:r>
    </w:p>
    <w:p w:rsidR="00450D96" w:rsidRPr="00FD29FE" w:rsidRDefault="00450D96" w:rsidP="00450D96">
      <w:pPr>
        <w:pStyle w:val="002"/>
      </w:pPr>
      <w:r w:rsidRPr="00FD29FE">
        <w:t>Поверхностные источники водоснабжения представлены водозаборами на реке Дон и Цимлянском водохранилище. Данные о них представлены в таблице ниже. Приведенные данные сопоставлены с данными среднемноголетнего и 95% обеспеченности стока рек вм</w:t>
      </w:r>
      <w:r w:rsidRPr="00FD29FE">
        <w:t>е</w:t>
      </w:r>
      <w:r w:rsidRPr="00FD29FE">
        <w:t>сте водозабора и дана оценка по допустимости изъятия части стока на цели водоснабжения по экологическим соображениям. Для каждого водозабора приведены данные о наличии и состоянии зоны санитарной охраны.</w:t>
      </w:r>
    </w:p>
    <w:p w:rsidR="00450D96" w:rsidRPr="00FD29FE" w:rsidRDefault="00450D96" w:rsidP="00450D96">
      <w:pPr>
        <w:pStyle w:val="002"/>
      </w:pPr>
      <w:r w:rsidRPr="00FD29FE">
        <w:t>Указанные водозаборы эксплуатируются совместно предприятиями-водопользователями и ЖКХ городов и поселков. Качество поверхностных вод в месте вод</w:t>
      </w:r>
      <w:r w:rsidRPr="00FD29FE">
        <w:t>о</w:t>
      </w:r>
      <w:r w:rsidRPr="00FD29FE">
        <w:t>забора указано в таблице. Поверхностные воды представлены, в основном, стоком р.</w:t>
      </w:r>
      <w:r w:rsidRPr="00FD29FE">
        <w:rPr>
          <w:lang w:val="en-US"/>
        </w:rPr>
        <w:t> </w:t>
      </w:r>
      <w:r w:rsidRPr="00FD29FE">
        <w:t>Дон и его притоков, которые только на 10% формируется в пределах области, а остальная часть – транзитный сток Верхнего Дона и Украины (р. Северский Донец и реки Приазовья).</w:t>
      </w:r>
    </w:p>
    <w:p w:rsidR="00450D96" w:rsidRPr="00FD29FE" w:rsidRDefault="00450D96" w:rsidP="00450D96">
      <w:pPr>
        <w:pStyle w:val="002"/>
      </w:pPr>
      <w:r w:rsidRPr="00FD29FE">
        <w:t>Ввиду сказанного, следует отметить особенности поверхностных вод:</w:t>
      </w:r>
    </w:p>
    <w:p w:rsidR="00450D96" w:rsidRPr="00FD29FE" w:rsidRDefault="00450D96" w:rsidP="00450D96">
      <w:pPr>
        <w:pStyle w:val="001"/>
      </w:pPr>
      <w:r w:rsidRPr="00FD29FE">
        <w:t>качество поверхностных вод зависит от внеобластных загрязнений, контролир</w:t>
      </w:r>
      <w:r w:rsidRPr="00FD29FE">
        <w:t>о</w:t>
      </w:r>
      <w:r w:rsidRPr="00FD29FE">
        <w:t>вать которые на 90% не представляется возможным;</w:t>
      </w:r>
    </w:p>
    <w:p w:rsidR="00450D96" w:rsidRPr="00FD29FE" w:rsidRDefault="00450D96" w:rsidP="00450D96">
      <w:pPr>
        <w:pStyle w:val="001"/>
      </w:pPr>
      <w:r w:rsidRPr="00FD29FE">
        <w:lastRenderedPageBreak/>
        <w:t>количество поверхностных вод для целей водоснабжения по признаку гарантир</w:t>
      </w:r>
      <w:r w:rsidRPr="00FD29FE">
        <w:t>о</w:t>
      </w:r>
      <w:r w:rsidRPr="00FD29FE">
        <w:t>ванное водоснабжение могут использоваться только р.р. Дон, Северский Донец и Цимлянское водохранилище и каналы на базе их стоков.</w:t>
      </w:r>
    </w:p>
    <w:p w:rsidR="00450D96" w:rsidRPr="00FD29FE" w:rsidRDefault="00450D96" w:rsidP="00450D96">
      <w:pPr>
        <w:pStyle w:val="002"/>
        <w:spacing w:line="269" w:lineRule="auto"/>
      </w:pPr>
    </w:p>
    <w:p w:rsidR="00450D96" w:rsidRPr="00FD29FE" w:rsidRDefault="00450D96" w:rsidP="00450D96">
      <w:pPr>
        <w:pStyle w:val="00"/>
        <w:spacing w:line="269" w:lineRule="auto"/>
      </w:pPr>
    </w:p>
    <w:p w:rsidR="00450D96" w:rsidRPr="00FD29FE" w:rsidRDefault="00450D96" w:rsidP="00450D96">
      <w:pPr>
        <w:pStyle w:val="00"/>
        <w:spacing w:line="269" w:lineRule="auto"/>
      </w:pPr>
      <w:r w:rsidRPr="00FD29FE">
        <w:t>Поверхностные источники водоснабжения</w:t>
      </w:r>
    </w:p>
    <w:p w:rsidR="00450D96" w:rsidRPr="00FD29FE" w:rsidRDefault="00450D96" w:rsidP="00450D96">
      <w:pPr>
        <w:pStyle w:val="004"/>
        <w:spacing w:line="269" w:lineRule="auto"/>
      </w:pPr>
    </w:p>
    <w:tbl>
      <w:tblPr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0A0"/>
      </w:tblPr>
      <w:tblGrid>
        <w:gridCol w:w="518"/>
        <w:gridCol w:w="5094"/>
        <w:gridCol w:w="3959"/>
      </w:tblGrid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  <w:rPr>
                <w:b/>
              </w:rPr>
            </w:pPr>
            <w:r w:rsidRPr="00FD29FE">
              <w:rPr>
                <w:b/>
                <w:sz w:val="22"/>
              </w:rPr>
              <w:t>Источник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р. Дон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  <w:rPr>
                <w:b/>
              </w:rPr>
            </w:pPr>
            <w:r w:rsidRPr="00FD29FE">
              <w:rPr>
                <w:b/>
                <w:sz w:val="22"/>
              </w:rPr>
              <w:t>Створ водозабора и водопользователь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Нижний бъеф Цимлянского водохран</w:t>
            </w:r>
            <w:r w:rsidRPr="00FD29FE">
              <w:rPr>
                <w:sz w:val="22"/>
              </w:rPr>
              <w:t>и</w:t>
            </w:r>
            <w:r w:rsidRPr="00FD29FE">
              <w:rPr>
                <w:sz w:val="22"/>
              </w:rPr>
              <w:t>лища МПП ЖКХ г. Цимлянска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4729" w:type="pct"/>
            <w:gridSpan w:val="2"/>
          </w:tcPr>
          <w:p w:rsidR="00450D96" w:rsidRPr="00FD29FE" w:rsidRDefault="00450D96" w:rsidP="00450D96">
            <w:pPr>
              <w:pStyle w:val="a7"/>
              <w:spacing w:line="269" w:lineRule="auto"/>
              <w:jc w:val="left"/>
              <w:rPr>
                <w:b/>
              </w:rPr>
            </w:pPr>
            <w:r w:rsidRPr="00FD29FE">
              <w:rPr>
                <w:b/>
                <w:sz w:val="22"/>
              </w:rPr>
              <w:t>Водные ресурсы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Среднемноголетнее (тыс. м</w:t>
            </w:r>
            <w:r w:rsidRPr="00FD29FE">
              <w:rPr>
                <w:sz w:val="22"/>
                <w:vertAlign w:val="superscript"/>
              </w:rPr>
              <w:t>3</w:t>
            </w:r>
            <w:r w:rsidRPr="00FD29FE">
              <w:rPr>
                <w:sz w:val="22"/>
              </w:rPr>
              <w:t>/с/год)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439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95%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100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Допустимое изъятие (20%) отп.5 (м</w:t>
            </w:r>
            <w:r w:rsidRPr="00FD29FE">
              <w:rPr>
                <w:sz w:val="22"/>
                <w:vertAlign w:val="superscript"/>
              </w:rPr>
              <w:t>3</w:t>
            </w:r>
            <w:r w:rsidRPr="00FD29FE">
              <w:rPr>
                <w:sz w:val="22"/>
              </w:rPr>
              <w:t>/с/год)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20 (172 8,0)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4729" w:type="pct"/>
            <w:gridSpan w:val="2"/>
          </w:tcPr>
          <w:p w:rsidR="00450D96" w:rsidRPr="00FD29FE" w:rsidRDefault="00450D96" w:rsidP="00450D96">
            <w:pPr>
              <w:pStyle w:val="a7"/>
              <w:spacing w:line="269" w:lineRule="auto"/>
              <w:jc w:val="left"/>
              <w:rPr>
                <w:b/>
              </w:rPr>
            </w:pPr>
            <w:r w:rsidRPr="00FD29FE">
              <w:rPr>
                <w:b/>
                <w:sz w:val="22"/>
              </w:rPr>
              <w:t>Современный водозабор (м</w:t>
            </w:r>
            <w:r w:rsidRPr="00FD29FE">
              <w:rPr>
                <w:b/>
                <w:sz w:val="22"/>
                <w:vertAlign w:val="superscript"/>
              </w:rPr>
              <w:t>3</w:t>
            </w:r>
            <w:r w:rsidRPr="00FD29FE">
              <w:rPr>
                <w:b/>
                <w:sz w:val="22"/>
              </w:rPr>
              <w:t>/с/год)/(м</w:t>
            </w:r>
            <w:r w:rsidRPr="00FD29FE">
              <w:rPr>
                <w:b/>
                <w:sz w:val="22"/>
                <w:vertAlign w:val="superscript"/>
              </w:rPr>
              <w:t>3</w:t>
            </w:r>
            <w:r w:rsidRPr="00FD29FE">
              <w:rPr>
                <w:b/>
                <w:sz w:val="22"/>
              </w:rPr>
              <w:t>/сут.)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Всего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0,058 (5,01)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На хозяйственно-питьевые нужды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0,058 (5,01)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</w:pPr>
            <w:r w:rsidRPr="00FD29FE">
              <w:rPr>
                <w:sz w:val="22"/>
              </w:rPr>
              <w:t>На производственно-технические цели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-</w:t>
            </w:r>
          </w:p>
        </w:tc>
      </w:tr>
      <w:tr w:rsidR="00450D96" w:rsidRPr="00FD29FE" w:rsidTr="00450D96">
        <w:tc>
          <w:tcPr>
            <w:tcW w:w="271" w:type="pct"/>
          </w:tcPr>
          <w:p w:rsidR="00450D96" w:rsidRPr="00FD29FE" w:rsidRDefault="00450D96" w:rsidP="00450D96">
            <w:pPr>
              <w:pStyle w:val="a6"/>
              <w:numPr>
                <w:ilvl w:val="0"/>
                <w:numId w:val="4"/>
              </w:numPr>
              <w:spacing w:line="269" w:lineRule="auto"/>
              <w:ind w:left="0" w:firstLine="0"/>
            </w:pPr>
          </w:p>
        </w:tc>
        <w:tc>
          <w:tcPr>
            <w:tcW w:w="2661" w:type="pct"/>
          </w:tcPr>
          <w:p w:rsidR="00450D96" w:rsidRPr="00FD29FE" w:rsidRDefault="00450D96" w:rsidP="00450D96">
            <w:pPr>
              <w:pStyle w:val="a7"/>
              <w:spacing w:line="269" w:lineRule="auto"/>
              <w:rPr>
                <w:b/>
              </w:rPr>
            </w:pPr>
            <w:r w:rsidRPr="00FD29FE">
              <w:rPr>
                <w:b/>
                <w:sz w:val="22"/>
              </w:rPr>
              <w:t>Наличие и состояние зоны санитарной охраны (</w:t>
            </w:r>
            <w:r w:rsidRPr="00FD29FE">
              <w:rPr>
                <w:b/>
                <w:sz w:val="22"/>
                <w:lang w:val="en-US"/>
              </w:rPr>
              <w:t>I</w:t>
            </w:r>
            <w:r w:rsidRPr="00FD29FE">
              <w:rPr>
                <w:b/>
                <w:sz w:val="22"/>
              </w:rPr>
              <w:t>-</w:t>
            </w:r>
            <w:r w:rsidRPr="00FD29FE">
              <w:rPr>
                <w:b/>
                <w:sz w:val="22"/>
                <w:lang w:val="en-US"/>
              </w:rPr>
              <w:t>II</w:t>
            </w:r>
            <w:r w:rsidRPr="00FD29FE">
              <w:rPr>
                <w:b/>
                <w:sz w:val="22"/>
              </w:rPr>
              <w:t xml:space="preserve"> пояс) СанПин 2.1.4..02 7-96</w:t>
            </w:r>
          </w:p>
        </w:tc>
        <w:tc>
          <w:tcPr>
            <w:tcW w:w="2068" w:type="pct"/>
          </w:tcPr>
          <w:p w:rsidR="00450D96" w:rsidRPr="00FD29FE" w:rsidRDefault="00450D96" w:rsidP="00450D96">
            <w:pPr>
              <w:pStyle w:val="a6"/>
              <w:spacing w:line="269" w:lineRule="auto"/>
              <w:jc w:val="left"/>
            </w:pPr>
            <w:r w:rsidRPr="00FD29FE">
              <w:rPr>
                <w:sz w:val="22"/>
              </w:rPr>
              <w:t>-</w:t>
            </w:r>
          </w:p>
        </w:tc>
      </w:tr>
    </w:tbl>
    <w:p w:rsidR="00450D96" w:rsidRPr="00FD29FE" w:rsidRDefault="00450D96" w:rsidP="00450D96">
      <w:pPr>
        <w:pStyle w:val="002"/>
        <w:spacing w:line="269" w:lineRule="auto"/>
      </w:pPr>
    </w:p>
    <w:p w:rsidR="00450D96" w:rsidRPr="00FD29FE" w:rsidRDefault="00450D96" w:rsidP="00450D96">
      <w:pPr>
        <w:pStyle w:val="002"/>
        <w:spacing w:line="269" w:lineRule="auto"/>
      </w:pPr>
      <w:r w:rsidRPr="00FD29FE">
        <w:t>Таким образом, можно сделать следующие выводы:</w:t>
      </w:r>
    </w:p>
    <w:p w:rsidR="00450D96" w:rsidRPr="00FD29FE" w:rsidRDefault="00450D96" w:rsidP="00450D96">
      <w:pPr>
        <w:pStyle w:val="0010"/>
        <w:numPr>
          <w:ilvl w:val="0"/>
          <w:numId w:val="5"/>
        </w:numPr>
        <w:spacing w:line="269" w:lineRule="auto"/>
      </w:pPr>
      <w:r w:rsidRPr="00FD29FE">
        <w:t>Качество поверхностных вод в зоне водозаборов по всем основных требованиям, предъявляемым к централизованным источникам (СанПин 2.1.4.1074-01 «Пить</w:t>
      </w:r>
      <w:r w:rsidRPr="00FD29FE">
        <w:t>е</w:t>
      </w:r>
      <w:r w:rsidRPr="00FD29FE">
        <w:t>вая вода»), признается неблагополучным, а именно, поверхностные воды рек Дон, Северский Донец и Верхне-Сальском канале, где расположены водозаборы, п</w:t>
      </w:r>
      <w:r w:rsidRPr="00FD29FE">
        <w:t>и</w:t>
      </w:r>
      <w:r w:rsidRPr="00FD29FE">
        <w:t>тающие локальные и групповые системы водоснабжения, не соответствуют треб</w:t>
      </w:r>
      <w:r w:rsidRPr="00FD29FE">
        <w:t>о</w:t>
      </w:r>
      <w:r w:rsidRPr="00FD29FE">
        <w:t>ваниям СанПин. Для использования поверхностных вод необходимо строительс</w:t>
      </w:r>
      <w:r w:rsidRPr="00FD29FE">
        <w:t>т</w:t>
      </w:r>
      <w:r w:rsidRPr="00FD29FE">
        <w:t xml:space="preserve">во дорогостоящих сооружений очистки. </w:t>
      </w:r>
    </w:p>
    <w:p w:rsidR="00450D96" w:rsidRPr="00FD29FE" w:rsidRDefault="00450D96" w:rsidP="00450D96">
      <w:pPr>
        <w:pStyle w:val="0010"/>
        <w:spacing w:line="269" w:lineRule="auto"/>
      </w:pPr>
      <w:r w:rsidRPr="00FD29FE">
        <w:t>Загрязнение указанных источников будут продолжаться, так как намечается разв</w:t>
      </w:r>
      <w:r w:rsidRPr="00FD29FE">
        <w:t>и</w:t>
      </w:r>
      <w:r w:rsidRPr="00FD29FE">
        <w:t>тие судоходства с 3,2 до 6,0 млн т/год («Программа Юг России»).</w:t>
      </w:r>
    </w:p>
    <w:p w:rsidR="00450D96" w:rsidRPr="00FD29FE" w:rsidRDefault="00450D96" w:rsidP="00450D96">
      <w:pPr>
        <w:pStyle w:val="002"/>
        <w:spacing w:line="269" w:lineRule="auto"/>
      </w:pPr>
      <w:r w:rsidRPr="00FD29FE">
        <w:t>Ввиду несоответствия источников воды требованиям СанПин 2.1.4.1074-01 практич</w:t>
      </w:r>
      <w:r w:rsidRPr="00FD29FE">
        <w:t>е</w:t>
      </w:r>
      <w:r w:rsidRPr="00FD29FE">
        <w:t>ски все существующие водоочистные сооружения потребуют реконструкции со строительс</w:t>
      </w:r>
      <w:r w:rsidRPr="00FD29FE">
        <w:t>т</w:t>
      </w:r>
      <w:r w:rsidRPr="00FD29FE">
        <w:t>вом сооружений глубокой очистки от химическим элементов.</w:t>
      </w:r>
    </w:p>
    <w:p w:rsidR="00450D96" w:rsidRPr="00FD29FE" w:rsidRDefault="00450D96" w:rsidP="00450D96">
      <w:pPr>
        <w:spacing w:line="269" w:lineRule="auto"/>
        <w:rPr>
          <w:lang w:eastAsia="ru-RU"/>
        </w:rPr>
      </w:pPr>
    </w:p>
    <w:p w:rsidR="00450D96" w:rsidRPr="00FD29FE" w:rsidRDefault="00F74CBE" w:rsidP="00F74CBE">
      <w:pPr>
        <w:pStyle w:val="4"/>
        <w:numPr>
          <w:ilvl w:val="0"/>
          <w:numId w:val="0"/>
        </w:numPr>
        <w:spacing w:line="269" w:lineRule="auto"/>
        <w:ind w:left="1702"/>
        <w:rPr>
          <w:color w:val="auto"/>
        </w:rPr>
      </w:pPr>
      <w:bookmarkStart w:id="4" w:name="_Toc311193762"/>
      <w:r>
        <w:rPr>
          <w:color w:val="auto"/>
        </w:rPr>
        <w:t xml:space="preserve">3. </w:t>
      </w:r>
      <w:r w:rsidR="00450D96" w:rsidRPr="00FD29FE">
        <w:rPr>
          <w:color w:val="auto"/>
        </w:rPr>
        <w:t>Почвы</w:t>
      </w:r>
      <w:bookmarkEnd w:id="4"/>
    </w:p>
    <w:p w:rsidR="00450D96" w:rsidRPr="00FD29FE" w:rsidRDefault="00450D96" w:rsidP="00450D96">
      <w:pPr>
        <w:pStyle w:val="002"/>
        <w:spacing w:line="269" w:lineRule="auto"/>
      </w:pPr>
      <w:r w:rsidRPr="00FD29FE">
        <w:t>В 2007 году Цимлянский район был отнесен к территориям риска по показателям п</w:t>
      </w:r>
      <w:r w:rsidRPr="00FD29FE">
        <w:t>а</w:t>
      </w:r>
      <w:r w:rsidRPr="00FD29FE">
        <w:t>разитологического загрязнения почвы.</w:t>
      </w:r>
    </w:p>
    <w:p w:rsidR="00450D96" w:rsidRPr="00FD29FE" w:rsidRDefault="00450D96" w:rsidP="00450D96">
      <w:pPr>
        <w:pStyle w:val="002"/>
        <w:spacing w:line="269" w:lineRule="auto"/>
      </w:pPr>
      <w:r w:rsidRPr="00FD29FE">
        <w:t>На территории района практически не осталось земель, которые не испытывали бы антропогенное воздействие, преимущественно негативного характера. Претерпел значител</w:t>
      </w:r>
      <w:r w:rsidRPr="00FD29FE">
        <w:t>ь</w:t>
      </w:r>
      <w:r w:rsidRPr="00FD29FE">
        <w:t>ные изменения и почвенный покров. Сократились площади наиболее ценных почв, умен</w:t>
      </w:r>
      <w:r w:rsidRPr="00FD29FE">
        <w:t>ь</w:t>
      </w:r>
      <w:r w:rsidRPr="00FD29FE">
        <w:t>шился уровень плодородия всего почвенного покрова. При этом на сельскохозяйственных угодьях наблюдается прогрессирующее распространение следующих негативных процессов:</w:t>
      </w:r>
    </w:p>
    <w:p w:rsidR="00450D96" w:rsidRPr="00FD29FE" w:rsidRDefault="00450D96" w:rsidP="00450D96">
      <w:pPr>
        <w:pStyle w:val="001"/>
      </w:pPr>
      <w:r w:rsidRPr="00FD29FE">
        <w:t>водная эрозия;</w:t>
      </w:r>
    </w:p>
    <w:p w:rsidR="00450D96" w:rsidRPr="00FD29FE" w:rsidRDefault="00450D96" w:rsidP="00450D96">
      <w:pPr>
        <w:pStyle w:val="001"/>
      </w:pPr>
      <w:r w:rsidRPr="00FD29FE">
        <w:lastRenderedPageBreak/>
        <w:t>ветровая эрозия;</w:t>
      </w:r>
    </w:p>
    <w:p w:rsidR="00450D96" w:rsidRPr="00FD29FE" w:rsidRDefault="00450D96" w:rsidP="00450D96">
      <w:pPr>
        <w:pStyle w:val="001"/>
      </w:pPr>
      <w:r w:rsidRPr="00FD29FE">
        <w:t>подтопление;</w:t>
      </w:r>
    </w:p>
    <w:p w:rsidR="00450D96" w:rsidRPr="00FD29FE" w:rsidRDefault="00450D96" w:rsidP="00450D96">
      <w:pPr>
        <w:pStyle w:val="001"/>
      </w:pPr>
      <w:r w:rsidRPr="00FD29FE">
        <w:t>засоление;</w:t>
      </w:r>
    </w:p>
    <w:p w:rsidR="00450D96" w:rsidRPr="00FD29FE" w:rsidRDefault="00450D96" w:rsidP="00450D96">
      <w:pPr>
        <w:pStyle w:val="001"/>
      </w:pPr>
      <w:r w:rsidRPr="00FD29FE">
        <w:t>осолонцевание;</w:t>
      </w:r>
    </w:p>
    <w:p w:rsidR="00450D96" w:rsidRPr="00FD29FE" w:rsidRDefault="00450D96" w:rsidP="00450D96">
      <w:pPr>
        <w:pStyle w:val="001"/>
      </w:pPr>
      <w:r w:rsidRPr="00FD29FE">
        <w:t>дегумификация.</w:t>
      </w:r>
    </w:p>
    <w:p w:rsidR="00450D96" w:rsidRPr="00FD29FE" w:rsidRDefault="00450D96" w:rsidP="00450D96">
      <w:pPr>
        <w:pStyle w:val="002"/>
      </w:pPr>
      <w:r w:rsidRPr="00FD29FE">
        <w:t>Данные мониторинга земель показывают, что, несмотря на созданный в предыдущие годы комплекс мероприятий, направленных на защиту земель от деградации и сохранения плодородия почв, почворазрушающие процессы на территории района продолжают расш</w:t>
      </w:r>
      <w:r w:rsidRPr="00FD29FE">
        <w:t>и</w:t>
      </w:r>
      <w:r w:rsidRPr="00FD29FE">
        <w:t>ряться и прогрессировать.</w:t>
      </w:r>
    </w:p>
    <w:p w:rsidR="00450D96" w:rsidRPr="00FD29FE" w:rsidRDefault="00450D96" w:rsidP="00450D96">
      <w:pPr>
        <w:pStyle w:val="002"/>
      </w:pPr>
      <w:r w:rsidRPr="00FD29FE">
        <w:t>Сложившаяся ситуация требует срочных мер по проведению систематических мон</w:t>
      </w:r>
      <w:r w:rsidRPr="00FD29FE">
        <w:t>и</w:t>
      </w:r>
      <w:r w:rsidRPr="00FD29FE">
        <w:t>торинговых исследований земель, как главного средства оценки прогнозирования изменений их состояний для выработки решений по улучшению условий использования земель, пред</w:t>
      </w:r>
      <w:r w:rsidRPr="00FD29FE">
        <w:t>у</w:t>
      </w:r>
      <w:r w:rsidRPr="00FD29FE">
        <w:t>преждению и устранению негативных процессов в почвах. Мониторинг состояния почв з</w:t>
      </w:r>
      <w:r w:rsidRPr="00FD29FE">
        <w:t>е</w:t>
      </w:r>
      <w:r w:rsidRPr="00FD29FE">
        <w:t>мель сельскохозяйственного назначения проводится в рамках сплошного агрохимического обследования и локального мониторинга на реперных участках.</w:t>
      </w:r>
    </w:p>
    <w:p w:rsidR="00450D96" w:rsidRPr="00FD29FE" w:rsidRDefault="00450D96" w:rsidP="00450D96">
      <w:pPr>
        <w:pStyle w:val="002"/>
      </w:pPr>
      <w:r w:rsidRPr="00FD29FE">
        <w:t>Нарушение баланса питательных веществ в земледелии ведет не только к уменьшению производства продукции и ухудшению ее качества, но и к снижению усто</w:t>
      </w:r>
      <w:r w:rsidRPr="00FD29FE">
        <w:t>й</w:t>
      </w:r>
      <w:r w:rsidRPr="00FD29FE">
        <w:t>чивости агроландшафтов. Систематическое наблюдение, изучение, анализ этих процессов и принятие необходимых мер составляет основу сплошного мониторинга.</w:t>
      </w:r>
    </w:p>
    <w:p w:rsidR="00450D96" w:rsidRPr="00FD29FE" w:rsidRDefault="00450D96" w:rsidP="00450D96">
      <w:pPr>
        <w:pStyle w:val="002"/>
      </w:pPr>
      <w:r w:rsidRPr="00FD29FE">
        <w:t>Данные агрохимических обследований являются чувствительной оперативной инфо</w:t>
      </w:r>
      <w:r w:rsidRPr="00FD29FE">
        <w:t>р</w:t>
      </w:r>
      <w:r w:rsidRPr="00FD29FE">
        <w:t>мацией о состоянии эффективного плодородия почв и могут служить основой для</w:t>
      </w:r>
      <w:r w:rsidRPr="00FD29FE">
        <w:rPr>
          <w:lang w:val="en-US"/>
        </w:rPr>
        <w:t> </w:t>
      </w:r>
      <w:r w:rsidRPr="00FD29FE">
        <w:t>прогнозирования изменения уровня потенциального плодородия при сохраняющихся технологиях использования земель. Они могут рассматриваться, как «первый звонок», св</w:t>
      </w:r>
      <w:r w:rsidRPr="00FD29FE">
        <w:t>и</w:t>
      </w:r>
      <w:r w:rsidRPr="00FD29FE">
        <w:t>детельствующий о развитии деградационных процессов в почвах, нарушении технологии выращивания сельскохозяйственной продукции и охраны почв. Преимущество этого показ</w:t>
      </w:r>
      <w:r w:rsidRPr="00FD29FE">
        <w:t>а</w:t>
      </w:r>
      <w:r w:rsidRPr="00FD29FE">
        <w:t>теля еще и в том, что он дает представление об изменении показателей за пять лет, в то вр</w:t>
      </w:r>
      <w:r w:rsidRPr="00FD29FE">
        <w:t>е</w:t>
      </w:r>
      <w:r w:rsidRPr="00FD29FE">
        <w:t>мя как остальные определяются с промежутком в 10-20 лет.</w:t>
      </w:r>
    </w:p>
    <w:p w:rsidR="00450D96" w:rsidRPr="00FD29FE" w:rsidRDefault="00450D96" w:rsidP="00450D96">
      <w:pPr>
        <w:pStyle w:val="002"/>
      </w:pPr>
      <w:r w:rsidRPr="00FD29FE">
        <w:t>Результаты исследований локального почвенного мониторинга свидетельствует о</w:t>
      </w:r>
      <w:r w:rsidRPr="00FD29FE">
        <w:rPr>
          <w:lang w:val="en-US"/>
        </w:rPr>
        <w:t> </w:t>
      </w:r>
      <w:r w:rsidRPr="00FD29FE">
        <w:t>том, что среднее содержание контролируемых радионуклидов за последние годы находится пра</w:t>
      </w:r>
      <w:r w:rsidRPr="00FD29FE">
        <w:t>к</w:t>
      </w:r>
      <w:r w:rsidRPr="00FD29FE">
        <w:t>тически на одном уровне. Интервалы активностей цезия-137 находятся в пределах 5,8-61,4 Бк/кг. Наблюдаемые по годам колебания в содержании цезия-137 обусловлены механ</w:t>
      </w:r>
      <w:r w:rsidRPr="00FD29FE">
        <w:t>и</w:t>
      </w:r>
      <w:r w:rsidRPr="00FD29FE">
        <w:t>ческим перемешиванием почвы при вспашке и небольшой степенью миграции его в более глубокие слои почвы.</w:t>
      </w:r>
    </w:p>
    <w:p w:rsidR="00450D96" w:rsidRPr="00FD29FE" w:rsidRDefault="00450D96" w:rsidP="00450D96">
      <w:pPr>
        <w:pStyle w:val="002"/>
      </w:pPr>
      <w:r w:rsidRPr="00FD29FE">
        <w:t>В связи с тем, что 80% эффективной дозы человек получает от ионизирующего изл</w:t>
      </w:r>
      <w:r w:rsidRPr="00FD29FE">
        <w:t>у</w:t>
      </w:r>
      <w:r w:rsidRPr="00FD29FE">
        <w:t>чения естественных радионуклидов, в первую очередь и определяли содержание Радия-226, Тория-323, Калия-40 и Урана-238 в почве. Результаты исследований показали, что</w:t>
      </w:r>
      <w:r w:rsidRPr="00FD29FE">
        <w:rPr>
          <w:lang w:val="en-US"/>
        </w:rPr>
        <w:t> </w:t>
      </w:r>
      <w:r w:rsidRPr="00FD29FE">
        <w:t>тория-232 в слое 0-</w:t>
      </w:r>
      <w:smartTag w:uri="urn:schemas-microsoft-com:office:smarttags" w:element="metricconverter">
        <w:smartTagPr>
          <w:attr w:name="ProductID" w:val="20 см"/>
        </w:smartTagPr>
        <w:r w:rsidRPr="00FD29FE">
          <w:t>20 см</w:t>
        </w:r>
      </w:smartTag>
      <w:r w:rsidRPr="00FD29FE">
        <w:t xml:space="preserve"> варьирует от 17,26 до 51,0 Бк/кг, радия-226 от 17,26 до 31,5, калия-40 от 335 до 790,9 Бк/кг. Средневзвешенные величины содержания ЕРН свидетельствуют о том, что минимальные и максимальные значения показателей отличаются незначительно, что я</w:t>
      </w:r>
      <w:r w:rsidRPr="00FD29FE">
        <w:t>в</w:t>
      </w:r>
      <w:r w:rsidRPr="00FD29FE">
        <w:t>ляется типичным для черноземных почв.</w:t>
      </w:r>
    </w:p>
    <w:p w:rsidR="00450D96" w:rsidRPr="00FD29FE" w:rsidRDefault="00450D96" w:rsidP="00450D96">
      <w:pPr>
        <w:pStyle w:val="002"/>
      </w:pPr>
      <w:r w:rsidRPr="00FD29FE">
        <w:t xml:space="preserve">Поступление и накопление радионуклидов в растениях зависит от физико-химических свойств почвы, климатических условия и от биологических особенностей самого растения. Поэтому при выполнении указанных работ большое внимание уделялось </w:t>
      </w:r>
      <w:r w:rsidRPr="00FD29FE">
        <w:lastRenderedPageBreak/>
        <w:t>определению агр</w:t>
      </w:r>
      <w:r w:rsidRPr="00FD29FE">
        <w:t>о</w:t>
      </w:r>
      <w:r w:rsidRPr="00FD29FE">
        <w:t>химических показателей почвы и, прежде всего, емкости поглощения, содержания гумуса, калия и кальция. Радионуклиды цезия-137 и стронция-90 прочно сорбированы черноземн</w:t>
      </w:r>
      <w:r w:rsidRPr="00FD29FE">
        <w:t>ы</w:t>
      </w:r>
      <w:r w:rsidRPr="00FD29FE">
        <w:t xml:space="preserve">ми почвами и об их доступности можно судить на основании коэффициентов накопления в растительной продукции, которые варьируют в основной продукции от 0,1 до 0,6 Бк/кг в зависимости от культуры. </w:t>
      </w:r>
    </w:p>
    <w:p w:rsidR="00450D96" w:rsidRPr="00FD29FE" w:rsidRDefault="00450D96" w:rsidP="00450D96">
      <w:pPr>
        <w:pStyle w:val="002"/>
      </w:pPr>
      <w:r w:rsidRPr="00FD29FE">
        <w:t>По данным токсикологических исследований установлено, что остаточные количества хлорорганических, симтриазиновых пестицидов в почве находятся в количестве от 0,001 до</w:t>
      </w:r>
      <w:r w:rsidRPr="00FD29FE">
        <w:rPr>
          <w:lang w:val="en-US"/>
        </w:rPr>
        <w:t> </w:t>
      </w:r>
      <w:r w:rsidRPr="00FD29FE">
        <w:t>0,019</w:t>
      </w:r>
      <w:r w:rsidRPr="00FD29FE">
        <w:rPr>
          <w:lang w:val="en-US"/>
        </w:rPr>
        <w:t> </w:t>
      </w:r>
      <w:r w:rsidRPr="00FD29FE">
        <w:t>мг/кг, что значительно ниже предельно допустимой концентрации содержания пе</w:t>
      </w:r>
      <w:r w:rsidRPr="00FD29FE">
        <w:t>с</w:t>
      </w:r>
      <w:r w:rsidRPr="00FD29FE">
        <w:t>тицидов в почве.</w:t>
      </w:r>
    </w:p>
    <w:p w:rsidR="00450D96" w:rsidRPr="00FD29FE" w:rsidRDefault="00450D96" w:rsidP="00450D96">
      <w:pPr>
        <w:pStyle w:val="002"/>
      </w:pPr>
      <w:r w:rsidRPr="00FD29FE">
        <w:t>Контроль за накоплением тяжелых металлов в почве и растительной продукции пок</w:t>
      </w:r>
      <w:r w:rsidRPr="00FD29FE">
        <w:t>а</w:t>
      </w:r>
      <w:r w:rsidRPr="00FD29FE">
        <w:t>зал, что уровень их содержания в почве и продукции не превышает фоновых значений или значительно ниже ПДК (ОДК). Эколого-токсилогическая оценка растительных образцов подтверждает, что концентрация ТМ в них ниже предельно допустимых норм.</w:t>
      </w:r>
    </w:p>
    <w:p w:rsidR="00450D96" w:rsidRPr="00FD29FE" w:rsidRDefault="00450D96" w:rsidP="00450D96">
      <w:pPr>
        <w:pStyle w:val="002"/>
      </w:pPr>
      <w:r w:rsidRPr="00FD29FE">
        <w:t>Таким образом, агроэкологическое состояние сельскохозяйственных угодий по тяж</w:t>
      </w:r>
      <w:r w:rsidRPr="00FD29FE">
        <w:t>е</w:t>
      </w:r>
      <w:r w:rsidRPr="00FD29FE">
        <w:t>лым металлам, ОКП и радиологическим показателям находится на уровне фоновых знач</w:t>
      </w:r>
      <w:r w:rsidRPr="00FD29FE">
        <w:t>е</w:t>
      </w:r>
      <w:r w:rsidRPr="00FD29FE">
        <w:t>ний. Эта устойчивость обеспечена генетическими особенностями черноземов, обладающих высокой буферностью.</w:t>
      </w:r>
    </w:p>
    <w:p w:rsidR="00450D96" w:rsidRPr="00FD29FE" w:rsidRDefault="00450D96" w:rsidP="00450D96">
      <w:pPr>
        <w:pStyle w:val="002"/>
      </w:pPr>
      <w:r w:rsidRPr="00FD29FE">
        <w:t>К проблемным участкам, не отвечающих санитарно-гигиеническим нормативам, на территории Ростовской области относят к зонам промышленных предприятий, транспор</w:t>
      </w:r>
      <w:r w:rsidRPr="00FD29FE">
        <w:t>т</w:t>
      </w:r>
      <w:r w:rsidRPr="00FD29FE">
        <w:t>ных магистралей, к местам применения и хранения пестицидов и минеральных удобрений. На территории Красноярского с.п. это сельскохозяйственные угодья в зоне воздействия а</w:t>
      </w:r>
      <w:r w:rsidRPr="00FD29FE">
        <w:t>в</w:t>
      </w:r>
      <w:r w:rsidRPr="00FD29FE">
        <w:t>тодорог регионального значения, железной дороги, а также зоны интенсивного антропоге</w:t>
      </w:r>
      <w:r w:rsidRPr="00FD29FE">
        <w:t>н</w:t>
      </w:r>
      <w:r w:rsidRPr="00FD29FE">
        <w:t xml:space="preserve">ного воздействия – сады и виноградники. </w:t>
      </w:r>
    </w:p>
    <w:p w:rsidR="00450D96" w:rsidRPr="00FD29FE" w:rsidRDefault="00450D96" w:rsidP="00450D96">
      <w:pPr>
        <w:pStyle w:val="002"/>
      </w:pPr>
      <w:r w:rsidRPr="00FD29FE">
        <w:t>В качестве приоритетных загрязнителей почв здесь выступают тяжелые металлы (цинк, медь). Так, содержание цинка в отдельных хозяйствах Цимлянского, Аксайского, Матвеево-Курганского районов превышает ПДК в 1,1-1,5 раз. Такая же тенденция наблюд</w:t>
      </w:r>
      <w:r w:rsidRPr="00FD29FE">
        <w:t>а</w:t>
      </w:r>
      <w:r w:rsidRPr="00FD29FE">
        <w:t>ется и в распределении в почвах повышенного содержания меди. Зоны загрязнения распол</w:t>
      </w:r>
      <w:r w:rsidRPr="00FD29FE">
        <w:t>а</w:t>
      </w:r>
      <w:r w:rsidRPr="00FD29FE">
        <w:t>гаются в пределах виноградников и садов Цимлянского, Семикаракорского, Матвеево-Курганского и Егорлыкского районов. Здесь концентрации подвижных форм меди в отдельных случаях превышают ПДК в 2,5-4 раза, а валовых - в 1,7-2 раза.</w:t>
      </w:r>
    </w:p>
    <w:p w:rsidR="00450D96" w:rsidRPr="00FD29FE" w:rsidRDefault="00450D96" w:rsidP="00450D96">
      <w:pPr>
        <w:pStyle w:val="002"/>
      </w:pPr>
      <w:r w:rsidRPr="00FD29FE">
        <w:t>Загрязнения остальными нормируемыми элементами носят, как правило, специфи</w:t>
      </w:r>
      <w:r w:rsidRPr="00FD29FE">
        <w:t>ч</w:t>
      </w:r>
      <w:r w:rsidRPr="00FD29FE">
        <w:t>ный характер для каждого вида сельхозкультур. Так, зерновые незначительно загрязнены мышьяком и свинцом. Фруктовые культуры характеризуются повышенными концентраци</w:t>
      </w:r>
      <w:r w:rsidRPr="00FD29FE">
        <w:t>я</w:t>
      </w:r>
      <w:r w:rsidRPr="00FD29FE">
        <w:t>ми меди. Овощным культурам присуще комплексное и довольно интенсивное загрязнение мышьяком, свинцом, медью и цинком. Для овощей характерно загрязнение цинком, медью и свинцом; загрязнение мышьяком присуще лишь капусте и луку.</w:t>
      </w:r>
    </w:p>
    <w:p w:rsidR="00450D96" w:rsidRPr="00FD29FE" w:rsidRDefault="00450D96" w:rsidP="00450D96">
      <w:pPr>
        <w:pStyle w:val="002"/>
      </w:pPr>
      <w:r w:rsidRPr="00FD29FE">
        <w:t>Источники повышенного содержания тяжелых металлов носят как агро-, так и техн</w:t>
      </w:r>
      <w:r w:rsidRPr="00FD29FE">
        <w:t>о</w:t>
      </w:r>
      <w:r w:rsidRPr="00FD29FE">
        <w:t>генный характер. Мощное техногенное воздействие, например, Каменского химического комплекса, обусловило интенсивное загрязнение цинком (до 100 ПДК) почв, прилегающих к его очистным сооружениям, природных ландшафтов, а также находящихся на значительном удалении сельхозугодий (3 ПДК).</w:t>
      </w:r>
    </w:p>
    <w:p w:rsidR="00450D96" w:rsidRPr="00FD29FE" w:rsidRDefault="00450D96" w:rsidP="00450D96">
      <w:pPr>
        <w:pStyle w:val="000"/>
      </w:pPr>
      <w:r w:rsidRPr="00FD29FE">
        <w:t>Эрозийные процессы</w:t>
      </w:r>
    </w:p>
    <w:p w:rsidR="00450D96" w:rsidRPr="00FD29FE" w:rsidRDefault="00450D96" w:rsidP="00450D96">
      <w:pPr>
        <w:pStyle w:val="002"/>
      </w:pPr>
      <w:r w:rsidRPr="00FD29FE">
        <w:lastRenderedPageBreak/>
        <w:t>Основными причинами развития эрозийных процессов являются, прежде всего, выс</w:t>
      </w:r>
      <w:r w:rsidRPr="00FD29FE">
        <w:t>о</w:t>
      </w:r>
      <w:r w:rsidRPr="00FD29FE">
        <w:t>кая степень сельскохозяйственной освоенности земель, интенсивная обработка почв. Недо</w:t>
      </w:r>
      <w:r w:rsidRPr="00FD29FE">
        <w:t>с</w:t>
      </w:r>
      <w:r w:rsidRPr="00FD29FE">
        <w:t>таточное внесение органических и минеральных удобрений, несоблюдение структуры посе</w:t>
      </w:r>
      <w:r w:rsidRPr="00FD29FE">
        <w:t>в</w:t>
      </w:r>
      <w:r w:rsidRPr="00FD29FE">
        <w:t>ных площадей и противоэрозионной агротехники приводят к дегумификации земель, увел</w:t>
      </w:r>
      <w:r w:rsidRPr="00FD29FE">
        <w:t>и</w:t>
      </w:r>
      <w:r w:rsidRPr="00FD29FE">
        <w:t>чению щелочности и карбонатности почв.</w:t>
      </w:r>
    </w:p>
    <w:p w:rsidR="00450D96" w:rsidRPr="00FD29FE" w:rsidRDefault="00450D96" w:rsidP="00450D96">
      <w:pPr>
        <w:pStyle w:val="002"/>
      </w:pPr>
    </w:p>
    <w:p w:rsidR="00450D96" w:rsidRPr="00FD29FE" w:rsidRDefault="00450D96" w:rsidP="00450D96">
      <w:pPr>
        <w:pStyle w:val="002"/>
      </w:pPr>
    </w:p>
    <w:p w:rsidR="001078D2" w:rsidRDefault="001078D2"/>
    <w:sectPr w:rsidR="001078D2" w:rsidSect="001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3C" w:rsidRDefault="0030533C" w:rsidP="00450D96">
      <w:pPr>
        <w:spacing w:line="240" w:lineRule="auto"/>
      </w:pPr>
      <w:r>
        <w:separator/>
      </w:r>
    </w:p>
  </w:endnote>
  <w:endnote w:type="continuationSeparator" w:id="1">
    <w:p w:rsidR="0030533C" w:rsidRDefault="0030533C" w:rsidP="00450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3C" w:rsidRDefault="0030533C" w:rsidP="00450D96">
      <w:pPr>
        <w:spacing w:line="240" w:lineRule="auto"/>
      </w:pPr>
      <w:r>
        <w:separator/>
      </w:r>
    </w:p>
  </w:footnote>
  <w:footnote w:type="continuationSeparator" w:id="1">
    <w:p w:rsidR="0030533C" w:rsidRDefault="0030533C" w:rsidP="00450D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314"/>
    <w:multiLevelType w:val="hybridMultilevel"/>
    <w:tmpl w:val="F6F4856A"/>
    <w:lvl w:ilvl="0" w:tplc="1B84DFAA">
      <w:start w:val="1"/>
      <w:numFmt w:val="bullet"/>
      <w:pStyle w:val="001"/>
      <w:lvlText w:val=""/>
      <w:lvlJc w:val="left"/>
      <w:pPr>
        <w:ind w:left="113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45EE6"/>
    <w:multiLevelType w:val="hybridMultilevel"/>
    <w:tmpl w:val="55CA83FE"/>
    <w:lvl w:ilvl="0" w:tplc="1426339E">
      <w:start w:val="1"/>
      <w:numFmt w:val="decimal"/>
      <w:pStyle w:val="0010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B47"/>
    <w:multiLevelType w:val="hybridMultilevel"/>
    <w:tmpl w:val="F99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3305FE"/>
    <w:multiLevelType w:val="multilevel"/>
    <w:tmpl w:val="F4A87A02"/>
    <w:lvl w:ilvl="0">
      <w:start w:val="1"/>
      <w:numFmt w:val="decimal"/>
      <w:pStyle w:val="2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3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4"/>
      <w:isLgl/>
      <w:lvlText w:val="%1.%2.%3."/>
      <w:lvlJc w:val="left"/>
      <w:pPr>
        <w:ind w:left="242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15868" w:themeColor="accent5" w:themeShade="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D96"/>
    <w:rsid w:val="001078D2"/>
    <w:rsid w:val="0030533C"/>
    <w:rsid w:val="00362DFC"/>
    <w:rsid w:val="00395496"/>
    <w:rsid w:val="003E3E2B"/>
    <w:rsid w:val="00450D96"/>
    <w:rsid w:val="00650EE8"/>
    <w:rsid w:val="006648B6"/>
    <w:rsid w:val="00816C02"/>
    <w:rsid w:val="00C5795D"/>
    <w:rsid w:val="00D33353"/>
    <w:rsid w:val="00D44F7B"/>
    <w:rsid w:val="00F7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"/>
    <w:link w:val="20"/>
    <w:uiPriority w:val="9"/>
    <w:qFormat/>
    <w:rsid w:val="00450D96"/>
    <w:pPr>
      <w:keepNext/>
      <w:keepLines/>
      <w:pageBreakBefore/>
      <w:numPr>
        <w:numId w:val="3"/>
      </w:numPr>
      <w:ind w:left="1077" w:hanging="357"/>
      <w:contextualSpacing w:val="0"/>
      <w:jc w:val="both"/>
      <w:outlineLvl w:val="1"/>
    </w:pPr>
    <w:rPr>
      <w:rFonts w:eastAsiaTheme="majorEastAsia" w:cstheme="majorBidi"/>
      <w:b/>
      <w:bCs/>
      <w:caps/>
      <w:color w:val="215868" w:themeColor="accent5" w:themeShade="80"/>
      <w:szCs w:val="26"/>
      <w:lang w:eastAsia="ru-RU"/>
    </w:rPr>
  </w:style>
  <w:style w:type="paragraph" w:styleId="3">
    <w:name w:val="heading 3"/>
    <w:basedOn w:val="a0"/>
    <w:next w:val="a"/>
    <w:link w:val="30"/>
    <w:uiPriority w:val="9"/>
    <w:qFormat/>
    <w:rsid w:val="00450D96"/>
    <w:pPr>
      <w:keepNext/>
      <w:keepLines/>
      <w:numPr>
        <w:ilvl w:val="1"/>
        <w:numId w:val="3"/>
      </w:numPr>
      <w:ind w:left="1800"/>
      <w:contextualSpacing w:val="0"/>
      <w:jc w:val="both"/>
      <w:outlineLvl w:val="2"/>
    </w:pPr>
    <w:rPr>
      <w:rFonts w:eastAsiaTheme="majorEastAsia" w:cstheme="majorBidi"/>
      <w:b/>
      <w:bCs/>
      <w:color w:val="215868" w:themeColor="accent5" w:themeShade="80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450D96"/>
    <w:pPr>
      <w:numPr>
        <w:ilvl w:val="2"/>
      </w:numPr>
      <w:ind w:left="1997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50D96"/>
    <w:rPr>
      <w:rFonts w:ascii="Times New Roman" w:eastAsiaTheme="majorEastAsia" w:hAnsi="Times New Roman" w:cstheme="majorBidi"/>
      <w:b/>
      <w:bCs/>
      <w:caps/>
      <w:color w:val="215868" w:themeColor="accent5" w:themeShade="80"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50D96"/>
    <w:rPr>
      <w:rFonts w:ascii="Times New Roman" w:eastAsiaTheme="majorEastAsia" w:hAnsi="Times New Roman" w:cstheme="majorBidi"/>
      <w:b/>
      <w:bCs/>
      <w:color w:val="215868" w:themeColor="accent5" w:themeShade="80"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50D96"/>
    <w:rPr>
      <w:rFonts w:ascii="Times New Roman" w:eastAsiaTheme="majorEastAsia" w:hAnsi="Times New Roman" w:cstheme="majorBidi"/>
      <w:b/>
      <w:bCs/>
      <w:color w:val="215868" w:themeColor="accent5" w:themeShade="80"/>
      <w:sz w:val="24"/>
      <w:szCs w:val="26"/>
      <w:lang w:eastAsia="ru-RU"/>
    </w:rPr>
  </w:style>
  <w:style w:type="paragraph" w:customStyle="1" w:styleId="a4">
    <w:name w:val="Основной текст пояснительной записки"/>
    <w:basedOn w:val="a"/>
    <w:autoRedefine/>
    <w:qFormat/>
    <w:rsid w:val="00450D96"/>
    <w:pPr>
      <w:ind w:firstLine="539"/>
      <w:jc w:val="both"/>
    </w:pPr>
    <w:rPr>
      <w:szCs w:val="28"/>
      <w:lang w:eastAsia="ar-SA"/>
    </w:rPr>
  </w:style>
  <w:style w:type="paragraph" w:customStyle="1" w:styleId="00">
    <w:name w:val="00 заглавия таблиц"/>
    <w:basedOn w:val="a"/>
    <w:qFormat/>
    <w:rsid w:val="00450D96"/>
    <w:pPr>
      <w:suppressAutoHyphens/>
      <w:contextualSpacing/>
      <w:jc w:val="center"/>
    </w:pPr>
    <w:rPr>
      <w:szCs w:val="28"/>
      <w:shd w:val="clear" w:color="auto" w:fill="FFFFFF"/>
      <w:lang w:eastAsia="ru-RU"/>
    </w:rPr>
  </w:style>
  <w:style w:type="paragraph" w:customStyle="1" w:styleId="001">
    <w:name w:val="00 маркированный список 1 уровень"/>
    <w:basedOn w:val="a0"/>
    <w:qFormat/>
    <w:rsid w:val="00450D96"/>
    <w:pPr>
      <w:numPr>
        <w:numId w:val="1"/>
      </w:numPr>
      <w:ind w:left="1020" w:hanging="340"/>
      <w:contextualSpacing w:val="0"/>
      <w:jc w:val="both"/>
    </w:pPr>
    <w:rPr>
      <w:szCs w:val="28"/>
      <w:lang w:eastAsia="ru-RU"/>
    </w:rPr>
  </w:style>
  <w:style w:type="paragraph" w:customStyle="1" w:styleId="000">
    <w:name w:val="00 выделение жирным"/>
    <w:basedOn w:val="a"/>
    <w:qFormat/>
    <w:rsid w:val="00450D96"/>
    <w:pPr>
      <w:ind w:firstLine="680"/>
      <w:jc w:val="both"/>
    </w:pPr>
    <w:rPr>
      <w:b/>
      <w:shd w:val="clear" w:color="auto" w:fill="FFFFFF"/>
      <w:lang w:eastAsia="ru-RU"/>
    </w:rPr>
  </w:style>
  <w:style w:type="paragraph" w:customStyle="1" w:styleId="0010">
    <w:name w:val="00 нумерованный список 1 уровень"/>
    <w:basedOn w:val="a"/>
    <w:qFormat/>
    <w:rsid w:val="00450D96"/>
    <w:pPr>
      <w:numPr>
        <w:numId w:val="2"/>
      </w:numPr>
      <w:ind w:left="1020" w:hanging="340"/>
      <w:jc w:val="both"/>
    </w:pPr>
    <w:rPr>
      <w:szCs w:val="28"/>
      <w:lang w:eastAsia="ru-RU"/>
    </w:rPr>
  </w:style>
  <w:style w:type="paragraph" w:customStyle="1" w:styleId="002">
    <w:name w:val="00 Основной текст"/>
    <w:basedOn w:val="a"/>
    <w:qFormat/>
    <w:rsid w:val="00450D96"/>
    <w:pPr>
      <w:ind w:firstLine="680"/>
      <w:jc w:val="both"/>
    </w:pPr>
    <w:rPr>
      <w:szCs w:val="28"/>
      <w:lang w:eastAsia="ru-RU"/>
    </w:rPr>
  </w:style>
  <w:style w:type="paragraph" w:customStyle="1" w:styleId="003">
    <w:name w:val="00 подзаголовки таблиц"/>
    <w:basedOn w:val="a5"/>
    <w:qFormat/>
    <w:rsid w:val="00450D96"/>
    <w:rPr>
      <w:sz w:val="22"/>
    </w:rPr>
  </w:style>
  <w:style w:type="paragraph" w:customStyle="1" w:styleId="004">
    <w:name w:val="00 рис и табл"/>
    <w:basedOn w:val="a"/>
    <w:qFormat/>
    <w:rsid w:val="00450D96"/>
    <w:pPr>
      <w:suppressAutoHyphens/>
      <w:ind w:firstLine="680"/>
      <w:jc w:val="right"/>
    </w:pPr>
    <w:rPr>
      <w:sz w:val="22"/>
      <w:szCs w:val="22"/>
      <w:lang w:eastAsia="ru-RU"/>
    </w:rPr>
  </w:style>
  <w:style w:type="paragraph" w:customStyle="1" w:styleId="a6">
    <w:name w:val="Стиль таблицы"/>
    <w:basedOn w:val="a4"/>
    <w:qFormat/>
    <w:rsid w:val="00450D96"/>
    <w:pPr>
      <w:ind w:firstLine="0"/>
      <w:jc w:val="center"/>
    </w:pPr>
    <w:rPr>
      <w:szCs w:val="24"/>
    </w:rPr>
  </w:style>
  <w:style w:type="paragraph" w:customStyle="1" w:styleId="a7">
    <w:name w:val="Стиль таблицы по правому краю"/>
    <w:basedOn w:val="a6"/>
    <w:qFormat/>
    <w:rsid w:val="00450D96"/>
    <w:pPr>
      <w:jc w:val="both"/>
    </w:pPr>
  </w:style>
  <w:style w:type="paragraph" w:customStyle="1" w:styleId="a5">
    <w:name w:val="подзаголовки таблиц"/>
    <w:basedOn w:val="a4"/>
    <w:qFormat/>
    <w:rsid w:val="00450D96"/>
    <w:pPr>
      <w:ind w:firstLine="0"/>
      <w:jc w:val="center"/>
    </w:pPr>
    <w:rPr>
      <w:b/>
      <w:szCs w:val="24"/>
    </w:rPr>
  </w:style>
  <w:style w:type="paragraph" w:customStyle="1" w:styleId="a8">
    <w:name w:val="подзаголовки"/>
    <w:basedOn w:val="a4"/>
    <w:qFormat/>
    <w:rsid w:val="00450D96"/>
    <w:pPr>
      <w:suppressAutoHyphens/>
      <w:ind w:firstLine="0"/>
      <w:jc w:val="center"/>
    </w:pPr>
    <w:rPr>
      <w:b/>
    </w:rPr>
  </w:style>
  <w:style w:type="paragraph" w:styleId="a9">
    <w:name w:val="footnote text"/>
    <w:basedOn w:val="a"/>
    <w:link w:val="aa"/>
    <w:semiHidden/>
    <w:unhideWhenUsed/>
    <w:rsid w:val="00450D96"/>
    <w:pPr>
      <w:spacing w:line="240" w:lineRule="auto"/>
      <w:ind w:firstLine="709"/>
      <w:jc w:val="both"/>
    </w:pPr>
    <w:rPr>
      <w:rFonts w:ascii="Calibri" w:hAnsi="Calibri"/>
      <w:sz w:val="20"/>
      <w:lang w:eastAsia="ru-RU"/>
    </w:rPr>
  </w:style>
  <w:style w:type="character" w:customStyle="1" w:styleId="aa">
    <w:name w:val="Текст сноски Знак"/>
    <w:basedOn w:val="a1"/>
    <w:link w:val="a9"/>
    <w:semiHidden/>
    <w:rsid w:val="00450D9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1"/>
    <w:unhideWhenUsed/>
    <w:rsid w:val="00450D96"/>
    <w:rPr>
      <w:vertAlign w:val="superscript"/>
    </w:rPr>
  </w:style>
  <w:style w:type="paragraph" w:styleId="a0">
    <w:name w:val="List Paragraph"/>
    <w:basedOn w:val="a"/>
    <w:uiPriority w:val="34"/>
    <w:qFormat/>
    <w:rsid w:val="0045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2023-05-29T12:42:00Z</dcterms:created>
  <dcterms:modified xsi:type="dcterms:W3CDTF">2023-05-29T12:55:00Z</dcterms:modified>
</cp:coreProperties>
</file>