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51" w:rsidRDefault="00CF7897">
      <w:pPr>
        <w:pStyle w:val="ae"/>
        <w:spacing w:after="0"/>
        <w:rPr>
          <w:b/>
        </w:rPr>
      </w:pPr>
      <w:r>
        <w:rPr>
          <w:b/>
        </w:rPr>
        <w:t xml:space="preserve">                                        </w:t>
      </w:r>
      <w:r w:rsidR="00C55C71">
        <w:rPr>
          <w:b/>
        </w:rPr>
        <w:t xml:space="preserve">  </w:t>
      </w:r>
      <w:r>
        <w:rPr>
          <w:b/>
        </w:rPr>
        <w:t xml:space="preserve">         РОССИЙСКАЯ ФЕДЕРАЦИЯ                              </w:t>
      </w:r>
    </w:p>
    <w:p w:rsidR="00867B51" w:rsidRDefault="00CF7897">
      <w:pPr>
        <w:pStyle w:val="ae"/>
        <w:spacing w:after="0"/>
        <w:jc w:val="center"/>
        <w:rPr>
          <w:b/>
        </w:rPr>
      </w:pPr>
      <w:r>
        <w:rPr>
          <w:b/>
        </w:rPr>
        <w:t>РОСТОВСКАЯ ОБЛАСТЬ ЦИМЛЯНСКИЙ  РАЙОН</w:t>
      </w:r>
    </w:p>
    <w:p w:rsidR="00867B51" w:rsidRDefault="00CF7897">
      <w:pPr>
        <w:pStyle w:val="ae"/>
        <w:spacing w:after="0"/>
        <w:jc w:val="center"/>
        <w:rPr>
          <w:b/>
        </w:rPr>
      </w:pPr>
      <w:r>
        <w:rPr>
          <w:b/>
        </w:rPr>
        <w:t>МУНИЦИПАЛЬНОЕ ОБРАЗОВАНИЕ</w:t>
      </w:r>
    </w:p>
    <w:p w:rsidR="00867B51" w:rsidRDefault="00CF7897">
      <w:pPr>
        <w:pStyle w:val="ae"/>
        <w:spacing w:after="0"/>
        <w:jc w:val="center"/>
        <w:rPr>
          <w:b/>
        </w:rPr>
      </w:pPr>
      <w:r>
        <w:rPr>
          <w:b/>
        </w:rPr>
        <w:t>«САРКЕЛОВСКОЕ  СЕЛЬСКОЕ ПОСЕЛЕНИЕ»</w:t>
      </w:r>
    </w:p>
    <w:p w:rsidR="00867B51" w:rsidRDefault="00867B51">
      <w:pPr>
        <w:pStyle w:val="ae"/>
        <w:spacing w:after="0"/>
        <w:jc w:val="center"/>
        <w:rPr>
          <w:b/>
        </w:rPr>
      </w:pPr>
    </w:p>
    <w:p w:rsidR="00867B51" w:rsidRDefault="00CF7897">
      <w:pPr>
        <w:pStyle w:val="ae"/>
        <w:spacing w:after="0"/>
        <w:jc w:val="center"/>
        <w:rPr>
          <w:b/>
        </w:rPr>
      </w:pPr>
      <w:r>
        <w:rPr>
          <w:b/>
        </w:rPr>
        <w:t>АДМИНИСТРАЦИЯ САРКЕЛОВСКОГО СЕЛЬСКОГО ПОСЕЛЕНИЯ</w:t>
      </w:r>
    </w:p>
    <w:p w:rsidR="00C55C71" w:rsidRDefault="00C55C71" w:rsidP="00C55C71">
      <w:pPr>
        <w:jc w:val="center"/>
        <w:rPr>
          <w:b/>
        </w:rPr>
      </w:pPr>
    </w:p>
    <w:p w:rsidR="00867B51" w:rsidRDefault="00CF7897">
      <w:pPr>
        <w:jc w:val="center"/>
      </w:pPr>
      <w:r>
        <w:rPr>
          <w:b/>
        </w:rPr>
        <w:t>ПОСТАНОВЛЕНИЕ</w:t>
      </w:r>
      <w:r>
        <w:t xml:space="preserve"> </w:t>
      </w:r>
    </w:p>
    <w:p w:rsidR="00867B51" w:rsidRDefault="00867B51">
      <w:pPr>
        <w:jc w:val="center"/>
      </w:pPr>
    </w:p>
    <w:p w:rsidR="00867B51" w:rsidRPr="00C55C71" w:rsidRDefault="00CF7897" w:rsidP="00C55C71">
      <w:r>
        <w:t xml:space="preserve"> </w:t>
      </w:r>
      <w:r w:rsidR="00C343CB">
        <w:t xml:space="preserve">01.08.2022 г.        </w:t>
      </w:r>
      <w:r>
        <w:t xml:space="preserve">                                             №  </w:t>
      </w:r>
      <w:r w:rsidR="00C343CB">
        <w:t>74</w:t>
      </w:r>
      <w:r>
        <w:t xml:space="preserve">                                                    п. Саркел    </w:t>
      </w:r>
    </w:p>
    <w:p w:rsidR="00867B51" w:rsidRDefault="00867B51">
      <w:pPr>
        <w:jc w:val="center"/>
        <w:rPr>
          <w:sz w:val="22"/>
          <w:u w:val="single"/>
        </w:rPr>
      </w:pPr>
    </w:p>
    <w:p w:rsidR="00867B51" w:rsidRDefault="00CF7897">
      <w:pPr>
        <w:widowControl w:val="0"/>
        <w:rPr>
          <w:sz w:val="28"/>
        </w:rPr>
      </w:pPr>
      <w:r>
        <w:rPr>
          <w:sz w:val="28"/>
        </w:rPr>
        <w:t xml:space="preserve">О порядке утверждения схемы </w:t>
      </w:r>
    </w:p>
    <w:p w:rsidR="00867B51" w:rsidRDefault="00CF7897">
      <w:pPr>
        <w:widowControl w:val="0"/>
        <w:rPr>
          <w:sz w:val="28"/>
        </w:rPr>
      </w:pPr>
      <w:r>
        <w:rPr>
          <w:sz w:val="28"/>
        </w:rPr>
        <w:t xml:space="preserve">размещения гаражей, являющихся </w:t>
      </w:r>
    </w:p>
    <w:p w:rsidR="00867B51" w:rsidRDefault="00CF7897">
      <w:pPr>
        <w:widowControl w:val="0"/>
        <w:rPr>
          <w:sz w:val="28"/>
        </w:rPr>
      </w:pPr>
      <w:r>
        <w:rPr>
          <w:sz w:val="28"/>
        </w:rPr>
        <w:t>некапитальными сооружениями,</w:t>
      </w:r>
    </w:p>
    <w:p w:rsidR="00867B51" w:rsidRDefault="00CF7897">
      <w:pPr>
        <w:widowControl w:val="0"/>
        <w:rPr>
          <w:sz w:val="28"/>
        </w:rPr>
      </w:pPr>
      <w:r>
        <w:rPr>
          <w:sz w:val="28"/>
        </w:rPr>
        <w:t xml:space="preserve">либо стоянок технических или других </w:t>
      </w:r>
    </w:p>
    <w:p w:rsidR="00867B51" w:rsidRDefault="00CF7897">
      <w:pPr>
        <w:widowControl w:val="0"/>
        <w:rPr>
          <w:sz w:val="28"/>
        </w:rPr>
      </w:pPr>
      <w:r>
        <w:rPr>
          <w:sz w:val="28"/>
        </w:rPr>
        <w:t xml:space="preserve">средств передвижения инвалидов вблизи </w:t>
      </w:r>
    </w:p>
    <w:p w:rsidR="00867B51" w:rsidRDefault="00CF7897">
      <w:pPr>
        <w:widowControl w:val="0"/>
        <w:rPr>
          <w:sz w:val="28"/>
        </w:rPr>
      </w:pPr>
      <w:r>
        <w:rPr>
          <w:sz w:val="28"/>
        </w:rPr>
        <w:t>их места жительства</w:t>
      </w:r>
    </w:p>
    <w:p w:rsidR="00867B51" w:rsidRDefault="00CF7897">
      <w:pPr>
        <w:widowControl w:val="0"/>
        <w:rPr>
          <w:sz w:val="28"/>
        </w:rPr>
      </w:pPr>
      <w:r>
        <w:t xml:space="preserve"> </w:t>
      </w:r>
    </w:p>
    <w:p w:rsidR="00867B51" w:rsidRDefault="00CF7897" w:rsidP="00C55C71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В соответствии с Земельным кодексом Российской Федерации, Федеральным законом от 05.04.2021 № 79-ФЗ «О внесении изменений в отдельные законодательные акты Российской Федерации», Областным законом от 29.07.2021 № 502-ЗС «О некоторых вопросах, связанных с оформлением в упрощенном порядке прав граждан на гаражи и расположенные под ними земельные участки», в целях упорядочивания размещения гаражей, являющихся некапитальными сооружениями, на землях или земельных участках, находящихся в государственной или муниципальной собственности Администрации Саркеловского сельского поселения, руководствуясь Уставом муниципального образования «Саркеловское сельское поселение» Администрация Саркеловского сельского поселения,</w:t>
      </w:r>
    </w:p>
    <w:p w:rsidR="00867B51" w:rsidRDefault="00867B51">
      <w:pPr>
        <w:widowControl w:val="0"/>
        <w:jc w:val="both"/>
        <w:rPr>
          <w:sz w:val="28"/>
        </w:rPr>
      </w:pPr>
    </w:p>
    <w:p w:rsidR="00867B51" w:rsidRDefault="00CF7897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ПОСТАНОВЛЯЕТ: </w:t>
      </w:r>
    </w:p>
    <w:p w:rsidR="00867B51" w:rsidRDefault="00867B51">
      <w:pPr>
        <w:widowControl w:val="0"/>
        <w:jc w:val="both"/>
        <w:rPr>
          <w:sz w:val="28"/>
        </w:rPr>
      </w:pPr>
    </w:p>
    <w:p w:rsidR="00867B51" w:rsidRDefault="00CF7897">
      <w:pPr>
        <w:widowControl w:val="0"/>
        <w:jc w:val="both"/>
        <w:rPr>
          <w:sz w:val="28"/>
        </w:rPr>
      </w:pPr>
      <w:r>
        <w:rPr>
          <w:sz w:val="28"/>
        </w:rPr>
        <w:t xml:space="preserve">1.  Утвердить Порядок 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согласно приложению </w:t>
      </w:r>
    </w:p>
    <w:p w:rsidR="00867B51" w:rsidRDefault="00CF7897">
      <w:pPr>
        <w:widowControl w:val="0"/>
        <w:jc w:val="both"/>
        <w:rPr>
          <w:sz w:val="28"/>
        </w:rPr>
      </w:pPr>
      <w:r>
        <w:rPr>
          <w:sz w:val="28"/>
        </w:rPr>
        <w:t>№ 1.</w:t>
      </w:r>
    </w:p>
    <w:p w:rsidR="00867B51" w:rsidRDefault="00CF7897">
      <w:pPr>
        <w:widowControl w:val="0"/>
        <w:jc w:val="both"/>
        <w:rPr>
          <w:sz w:val="28"/>
        </w:rPr>
      </w:pPr>
      <w:r>
        <w:rPr>
          <w:sz w:val="28"/>
        </w:rPr>
        <w:t xml:space="preserve">2. Утвердить форму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согласно приложению № 2. </w:t>
      </w:r>
    </w:p>
    <w:p w:rsidR="00867B51" w:rsidRDefault="00CF7897">
      <w:pPr>
        <w:widowControl w:val="0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со дня его официального обнародования. </w:t>
      </w:r>
    </w:p>
    <w:p w:rsidR="00867B51" w:rsidRDefault="00CF7897">
      <w:pPr>
        <w:widowControl w:val="0"/>
        <w:jc w:val="both"/>
        <w:rPr>
          <w:sz w:val="28"/>
        </w:rPr>
      </w:pPr>
      <w:r>
        <w:rPr>
          <w:sz w:val="28"/>
        </w:rPr>
        <w:t>4. Контроль за выполнением настоящего постановления оставляю за собой.</w:t>
      </w:r>
    </w:p>
    <w:p w:rsidR="00867B51" w:rsidRDefault="00867B51">
      <w:pPr>
        <w:widowControl w:val="0"/>
        <w:rPr>
          <w:sz w:val="28"/>
        </w:rPr>
      </w:pPr>
    </w:p>
    <w:p w:rsidR="00867B51" w:rsidRDefault="00867B51">
      <w:pPr>
        <w:widowControl w:val="0"/>
        <w:rPr>
          <w:sz w:val="28"/>
        </w:rPr>
      </w:pPr>
    </w:p>
    <w:p w:rsidR="00867B51" w:rsidRDefault="00CF7897">
      <w:pPr>
        <w:widowControl w:val="0"/>
        <w:rPr>
          <w:sz w:val="28"/>
        </w:rPr>
      </w:pPr>
      <w:r>
        <w:rPr>
          <w:sz w:val="28"/>
        </w:rPr>
        <w:t>Администрации Саркеловского</w:t>
      </w:r>
    </w:p>
    <w:p w:rsidR="00867B51" w:rsidRDefault="00CF7897">
      <w:pPr>
        <w:widowControl w:val="0"/>
        <w:rPr>
          <w:sz w:val="28"/>
        </w:rPr>
      </w:pPr>
      <w:r>
        <w:rPr>
          <w:sz w:val="28"/>
        </w:rPr>
        <w:t>сельского поселения                                                                         Г.А. Бурняшев</w:t>
      </w:r>
    </w:p>
    <w:p w:rsidR="00867B51" w:rsidRDefault="00867B51">
      <w:pPr>
        <w:widowControl w:val="0"/>
      </w:pPr>
    </w:p>
    <w:p w:rsidR="00867B51" w:rsidRDefault="00867B51">
      <w:pPr>
        <w:widowControl w:val="0"/>
      </w:pPr>
    </w:p>
    <w:p w:rsidR="00867B51" w:rsidRDefault="00CF7897">
      <w:pPr>
        <w:widowControl w:val="0"/>
        <w:rPr>
          <w:sz w:val="18"/>
        </w:rPr>
      </w:pPr>
      <w:r>
        <w:rPr>
          <w:sz w:val="18"/>
        </w:rPr>
        <w:t xml:space="preserve">Постановление вносит ведущий специалист </w:t>
      </w:r>
    </w:p>
    <w:p w:rsidR="00867B51" w:rsidRDefault="00CF7897">
      <w:pPr>
        <w:widowControl w:val="0"/>
        <w:rPr>
          <w:sz w:val="18"/>
        </w:rPr>
      </w:pPr>
      <w:r>
        <w:rPr>
          <w:sz w:val="18"/>
        </w:rPr>
        <w:t>по земельным и имущественным отношениям</w:t>
      </w:r>
    </w:p>
    <w:p w:rsidR="00867B51" w:rsidRDefault="00867B51">
      <w:pPr>
        <w:widowControl w:val="0"/>
        <w:rPr>
          <w:sz w:val="18"/>
        </w:rPr>
      </w:pPr>
    </w:p>
    <w:p w:rsidR="00867B51" w:rsidRDefault="00867B51">
      <w:pPr>
        <w:widowControl w:val="0"/>
        <w:rPr>
          <w:sz w:val="18"/>
        </w:rPr>
      </w:pPr>
    </w:p>
    <w:p w:rsidR="00867B51" w:rsidRDefault="00867B51">
      <w:pPr>
        <w:widowControl w:val="0"/>
        <w:rPr>
          <w:sz w:val="18"/>
        </w:rPr>
      </w:pPr>
    </w:p>
    <w:p w:rsidR="00867B51" w:rsidRDefault="00867B51">
      <w:pPr>
        <w:widowControl w:val="0"/>
        <w:rPr>
          <w:sz w:val="18"/>
        </w:rPr>
      </w:pPr>
    </w:p>
    <w:p w:rsidR="00867B51" w:rsidRDefault="00CF7897">
      <w:pPr>
        <w:ind w:left="5103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867B51" w:rsidRDefault="00CF7897">
      <w:pPr>
        <w:ind w:left="5103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867B51" w:rsidRDefault="00CF7897">
      <w:pPr>
        <w:ind w:left="5103"/>
        <w:jc w:val="right"/>
        <w:rPr>
          <w:sz w:val="28"/>
        </w:rPr>
      </w:pPr>
      <w:r>
        <w:rPr>
          <w:sz w:val="28"/>
        </w:rPr>
        <w:t xml:space="preserve">Саркеловского сельского поселения </w:t>
      </w:r>
    </w:p>
    <w:p w:rsidR="00867B51" w:rsidRDefault="00CF7897">
      <w:pPr>
        <w:ind w:left="5103"/>
        <w:jc w:val="right"/>
        <w:rPr>
          <w:sz w:val="28"/>
        </w:rPr>
      </w:pPr>
      <w:r>
        <w:rPr>
          <w:sz w:val="28"/>
        </w:rPr>
        <w:t xml:space="preserve">от  </w:t>
      </w:r>
      <w:r w:rsidR="00C343CB">
        <w:rPr>
          <w:sz w:val="28"/>
        </w:rPr>
        <w:t>01.08.2022 г.</w:t>
      </w:r>
      <w:r>
        <w:rPr>
          <w:sz w:val="28"/>
        </w:rPr>
        <w:t xml:space="preserve"> №</w:t>
      </w:r>
      <w:r w:rsidR="00C343CB">
        <w:rPr>
          <w:sz w:val="28"/>
        </w:rPr>
        <w:t xml:space="preserve"> 74</w:t>
      </w:r>
      <w:r>
        <w:rPr>
          <w:sz w:val="28"/>
        </w:rPr>
        <w:t xml:space="preserve"> </w:t>
      </w:r>
    </w:p>
    <w:p w:rsidR="00867B51" w:rsidRDefault="00867B51">
      <w:pPr>
        <w:ind w:left="5103"/>
        <w:rPr>
          <w:sz w:val="28"/>
        </w:rPr>
      </w:pPr>
    </w:p>
    <w:p w:rsidR="00867B51" w:rsidRDefault="00CF7897">
      <w:pPr>
        <w:jc w:val="both"/>
        <w:rPr>
          <w:sz w:val="28"/>
        </w:rPr>
      </w:pPr>
      <w:r>
        <w:t xml:space="preserve">                                                             </w:t>
      </w:r>
      <w:r>
        <w:rPr>
          <w:sz w:val="28"/>
        </w:rPr>
        <w:t xml:space="preserve">ПОРЯДОК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</w:t>
      </w:r>
    </w:p>
    <w:p w:rsidR="00867B51" w:rsidRDefault="00867B51">
      <w:pPr>
        <w:jc w:val="both"/>
        <w:rPr>
          <w:sz w:val="28"/>
        </w:rPr>
      </w:pP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1. Схема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(далее также – Схема размещения объектов) представляет собой документ, определяющий места размещения некапитальных гаражей и стоянок технических или других средств передвижения инвалидов вблизи их места жительства (далее также – объекты), на землях или земельных участках, находящихся в государственной или муниципальной собственности на территории населенных пунктов Саркеловского сельского поселения Цимлянского района Ростовской области.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2. Схема размещения объектов утверждается правовым актом Администрации Саркеловского сельского поселения (далее – уполномоченный орган) на срок, не превышающий 5 лет с даты ее утверждения.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3. Уполномоченный орган осуществляет планирование по размещению объектов на территории населенного пункта с учетом существующей дислокации гаражей, являющихся некапитальными сооружениями, либо стоянок технических или других средств передвижения инвалидов вблизи их места жительства, и мест планируемого размещения таких объектов.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4. При разработке схемы размещения учитываются результаты инвентаризации, требования земельного законодательства, законодательства о градостроительной деятельности, о пожарной безопасности, законодательства в области охраны окружающей среды, в области охраны и использования, особо охраняемых природных территорий, в области обеспечения санитарно-эпидемиологического благополучия населения и иные требования законодательства Российской Федерации, сведения из Единого государственного реестра недвижимости, документы территориального планирования, правила землепользования и застройки, документация по планировке территории, землеустроительная документация, сведения об особо охраняемой природной территории, о зонах с особыми условиями использования территории, о территориях общего пользования, красных линиях, о местоположении границ земельных участков, зданий, сооружений, объектов незавершенного строительства.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5. При разработке Схемы размещения объектов применяются 4 следующие критерии: - размещение объектов необходимо осуществлять преимущественно в зонах инженерной и транспортной инфраструктур, установленных документами территориального планирования Саркеловского сельского поселения, а также в местах, определенных для стоянки автомобилей, в соответствии с утвержденной документацией по планировке территории; - размещение объектов не должно препятствовать пешеходному движению, должно обеспечивать беспрепятственный проезд автотранспорта, включая транспорт аварийно-спасательных служб, машин скорой помощи; - размещение </w:t>
      </w:r>
      <w:r>
        <w:rPr>
          <w:sz w:val="28"/>
        </w:rPr>
        <w:lastRenderedPageBreak/>
        <w:t xml:space="preserve">объектов не должно препятствовать реализации мероприятий по благоустройству территории, внешний вид объектов должен соответствовать требованиям, установленным правилами благоустройства муниципального образования.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6. Земельные участки не включаются в Схему размещения объектов в случаях, если: - начаты работы по предоставлению на торгах либо без проведения торгов земельного участка, на котором планируется размещение объектов,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 - принято решение о комплексном развитии территории; - принято решение о резервировании земель, земельных участков для государственных или муниципальных нужд; - земельный участок или часть земельного участка, на котором планируется размещение объектов, предоставлен физическому или юридическому лицу в соответствии с земельным законодательством (за исключением земельных участков, предоставленных для размещения гаража, ранее возведенного на том же месте, по договору аренды земельного участка, заключенному до 1 сентября 2021 г.); - размещение объекта не предусмотрено документацией по планировке территории; - нахождение земельного участка или части земельного участка в границах зон с особыми условиями использования территорий, установленные ограничения использования земельных участков, в которых не допускают использование участка для размещения некапитальных гаражей либо стоянки средств передвижения инвалидов; 5 - расположение земельного участка или части земельного участка в границах территории общего пользования, на существующих инженерных сетях, коммуникациях, сооружениях; - отсутствие доступа (прохода, проезда) от земельных участков общего пользования к земельному участку; - наличие судебного спора в отношении земельного участка, на котором планируется размещение объекта, расположенных на нем зданий, сооружений, и (или) судебного спора о границах и (или) площади смежных с ним земельных участков; - несоблюдение требований пунктов 4, 5 настоящего Порядка.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7. Уполномоченный орган разрабатывает проект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по форме согласно приложению № 2 к настоящему постановлению.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8. Проект Схемы размещения объектов публикуется на официальном сайте уполномоченного органа в информационно-телекоммуникационной сети «Интернет».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9. Уполномоченный орган в течение 1 рабочего дня с даты опубликования Схемы размещения объектов направляет в органы, указанные в пункте 11 настоящего Порядка, уведомление об опубликовании проекта Схемы размещения объектов.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>10. В течение 20 рабочих дней с даты опубликования проекта Схемы размещения объектов на официальном сайте в информационно-</w:t>
      </w:r>
      <w:r>
        <w:rPr>
          <w:sz w:val="28"/>
        </w:rPr>
        <w:lastRenderedPageBreak/>
        <w:t xml:space="preserve">телекоммуникационной сети «Интернет» органы, указанные в пункте 11 настоящего Порядка, физические и юридические лица направляют в уполномоченный орган замечания и предложения к проекту Схемы размещения объектов.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11. В течение 10 рабочих дней со дня окончания срока, установленного в пункте 10 настоящего Порядка, уполномоченный орган дорабатывает проект Схемы размещения объектов с учетом поступивших замечаний и предложений и направляет его на согласование следующим органам: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11.1. В отраслевые (функциональные) органы Администрации </w:t>
      </w:r>
      <w:r w:rsidR="00C55C71">
        <w:rPr>
          <w:sz w:val="28"/>
        </w:rPr>
        <w:t>Цимлянского</w:t>
      </w:r>
      <w:r>
        <w:rPr>
          <w:sz w:val="28"/>
        </w:rPr>
        <w:t xml:space="preserve"> района, осуществляющих полномочия в области градостроительной деятельности, использования, распоряжения и охраны земель, организации благоустройства на территории муниципального образования, охраны окружающей среды, дорожной деятельности в отношении соответствующих автомобильных дорог, создания условий для предоставления транспортных услуг населению и организации транспортного обслуживания населения, охраны объектов культурного наследия.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11.2. Федеральному органу исполнительной власти, осуществляющему полномочия собственника в отношении федерального имущества (если Схема размещения объектов предусматривает размещение объектов на земельных участках, находящихся в собственности Российской Федерации).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11.3. Органу исполнительной власти Ростовской области, осуществляющему полномочия в области охраны объектов культурного 6 наследия (если Схема размещения объектов предусматривает размещение объектов на территории зон охраны объектов культурного наследия).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11.4. Органу исполнительной власти Ростовской области, осуществляющему полномочия в сфере имущественных и земельных отношений (если Схема размещения объектов предусматривает размещение объектов на земельных участках, находящихся в собственности Ростовской области).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12. Органы, указанные в пункте 11 настоящего Порядка, рассматривают представленный им на согласование проект Схемы размещения объектов и согласовывают проект Схемы размещения объектов или отказывают в согласовании проекта Схемы размещения объектов и направляют письменное уведомление о принятом решении уполномоченному органу в течение 5 рабочих дней со дня поступления проекта Схемы размещения объектов на согласование. В случае не поступления в уполномоченный орган письменного уведомления о принятом решении от органа, указанного в пункте 11 настоящего Порядка, в срок, установленный абзацем первым настоящего пункта, проект Схемы размещения объектов считается согласованным данным органом.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13. В случае поступления уведомления о принятом решении об отказе в согласовании проекта Схемы размещения объекта, уполномоченный орган в течение 5 рабочих дней с даты завершения срока, установленного пунктом 12 настоящего Порядка, вносит изменения в проект Схемы размещения объектов и повторно направляет проект Схемы размещения объектов в орган, из которого поступило уведомление о принятом решении об отказе в согласовании проекта Схемы размещения объектов, для повторного рассмотрения. Повторное рассмотрение проекта Схемы размещения объектов осуществляется в порядке, установленном пунктом 12 настоящего Порядка.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14. Схема размещения объектов подлежит опубликованию в порядке, установленном для официального опубликования муниципальных правовых </w:t>
      </w:r>
      <w:r>
        <w:rPr>
          <w:sz w:val="28"/>
        </w:rPr>
        <w:lastRenderedPageBreak/>
        <w:t xml:space="preserve">актов, а также размещению на официальном сайте уполномоченного органа в информационно-телекоммуникационной сети «Интернет».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15. Изменения в Схему размещения объектов вносятся по мере необходимости, но не чаще двух раз в год при наличии мотивированных предложений федеральных органов исполнительной власти, органов исполнительной власти Ростовской области, отраслевых (функциональных) органов местной администрации, физических и юридических лиц. </w:t>
      </w:r>
    </w:p>
    <w:p w:rsidR="00867B51" w:rsidRDefault="00CF7897">
      <w:pPr>
        <w:jc w:val="both"/>
        <w:rPr>
          <w:sz w:val="28"/>
        </w:rPr>
      </w:pPr>
      <w:r>
        <w:rPr>
          <w:sz w:val="28"/>
        </w:rPr>
        <w:t xml:space="preserve">16. Внесение изменений в Схему размещения объектов осуществляется в порядке, установленном для ее разработки и утверждения. </w:t>
      </w:r>
    </w:p>
    <w:p w:rsidR="00867B51" w:rsidRDefault="00867B51">
      <w:pPr>
        <w:jc w:val="both"/>
        <w:rPr>
          <w:sz w:val="28"/>
        </w:rPr>
      </w:pPr>
    </w:p>
    <w:p w:rsidR="00867B51" w:rsidRDefault="00867B51">
      <w:pPr>
        <w:jc w:val="both"/>
        <w:rPr>
          <w:sz w:val="28"/>
        </w:rPr>
      </w:pPr>
    </w:p>
    <w:p w:rsidR="00867B51" w:rsidRDefault="00867B51">
      <w:pPr>
        <w:jc w:val="both"/>
        <w:rPr>
          <w:sz w:val="28"/>
        </w:rPr>
      </w:pPr>
    </w:p>
    <w:p w:rsidR="00CF7897" w:rsidRDefault="00CF7897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 w:rsidP="00CF7897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CF7897" w:rsidRDefault="00CF7897" w:rsidP="00CF7897">
      <w:pPr>
        <w:rPr>
          <w:sz w:val="28"/>
        </w:rPr>
      </w:pPr>
      <w:r>
        <w:rPr>
          <w:sz w:val="28"/>
        </w:rPr>
        <w:t>Саркеловского сельского поселения                                                Г.А. Бурняшев</w:t>
      </w: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>
      <w:pPr>
        <w:jc w:val="right"/>
        <w:rPr>
          <w:sz w:val="28"/>
        </w:rPr>
      </w:pPr>
    </w:p>
    <w:p w:rsidR="00CF7897" w:rsidRDefault="00CF7897" w:rsidP="007D70B6">
      <w:pPr>
        <w:rPr>
          <w:sz w:val="28"/>
        </w:rPr>
      </w:pPr>
    </w:p>
    <w:p w:rsidR="00C55C71" w:rsidRDefault="00C55C71" w:rsidP="007D70B6">
      <w:pPr>
        <w:rPr>
          <w:sz w:val="28"/>
        </w:rPr>
      </w:pPr>
    </w:p>
    <w:p w:rsidR="00C55C71" w:rsidRDefault="00C55C71" w:rsidP="007D70B6">
      <w:pPr>
        <w:rPr>
          <w:sz w:val="28"/>
        </w:rPr>
      </w:pPr>
    </w:p>
    <w:p w:rsidR="00C55C71" w:rsidRDefault="00C55C71" w:rsidP="007D70B6">
      <w:pPr>
        <w:rPr>
          <w:sz w:val="28"/>
        </w:rPr>
      </w:pPr>
    </w:p>
    <w:p w:rsidR="00C55C71" w:rsidRDefault="00C55C71" w:rsidP="007D70B6">
      <w:pPr>
        <w:rPr>
          <w:sz w:val="28"/>
        </w:rPr>
      </w:pPr>
    </w:p>
    <w:p w:rsidR="00C55C71" w:rsidRDefault="00C55C71" w:rsidP="007D70B6">
      <w:pPr>
        <w:rPr>
          <w:sz w:val="28"/>
        </w:rPr>
      </w:pPr>
    </w:p>
    <w:p w:rsidR="00C55C71" w:rsidRDefault="00C55C71" w:rsidP="007D70B6">
      <w:pPr>
        <w:rPr>
          <w:sz w:val="28"/>
        </w:rPr>
      </w:pPr>
      <w:bookmarkStart w:id="0" w:name="_GoBack"/>
      <w:bookmarkEnd w:id="0"/>
    </w:p>
    <w:p w:rsidR="00CF7897" w:rsidRDefault="00CF7897">
      <w:pPr>
        <w:jc w:val="right"/>
        <w:rPr>
          <w:sz w:val="28"/>
        </w:rPr>
      </w:pPr>
    </w:p>
    <w:p w:rsidR="00B01128" w:rsidRDefault="00B01128" w:rsidP="00B01128">
      <w:pPr>
        <w:rPr>
          <w:sz w:val="28"/>
        </w:rPr>
      </w:pPr>
    </w:p>
    <w:p w:rsidR="00C343CB" w:rsidRDefault="00C343CB" w:rsidP="00B01128">
      <w:pPr>
        <w:ind w:left="6237"/>
        <w:jc w:val="center"/>
        <w:rPr>
          <w:sz w:val="28"/>
        </w:rPr>
      </w:pPr>
    </w:p>
    <w:p w:rsidR="00B01128" w:rsidRDefault="00B01128" w:rsidP="00B01128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B01128" w:rsidRDefault="00B01128" w:rsidP="00B01128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B01128" w:rsidRDefault="00B01128" w:rsidP="00B01128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Саркеловского сельского поселения </w:t>
      </w:r>
    </w:p>
    <w:p w:rsidR="00B01128" w:rsidRDefault="00B01128" w:rsidP="00B01128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C343CB">
        <w:rPr>
          <w:sz w:val="28"/>
        </w:rPr>
        <w:t>01.08.2022 г.</w:t>
      </w:r>
      <w:r>
        <w:rPr>
          <w:sz w:val="28"/>
        </w:rPr>
        <w:t xml:space="preserve"> № </w:t>
      </w:r>
      <w:r w:rsidR="00C343CB">
        <w:rPr>
          <w:sz w:val="28"/>
        </w:rPr>
        <w:t>74</w:t>
      </w:r>
    </w:p>
    <w:p w:rsidR="00B01128" w:rsidRDefault="00B01128" w:rsidP="00B01128">
      <w:pPr>
        <w:widowControl w:val="0"/>
        <w:rPr>
          <w:sz w:val="28"/>
        </w:rPr>
      </w:pPr>
    </w:p>
    <w:p w:rsidR="00B01128" w:rsidRDefault="00B01128" w:rsidP="00B01128">
      <w:pPr>
        <w:widowControl w:val="0"/>
        <w:jc w:val="center"/>
        <w:rPr>
          <w:sz w:val="28"/>
        </w:rPr>
      </w:pPr>
    </w:p>
    <w:p w:rsidR="00B01128" w:rsidRDefault="00B01128" w:rsidP="00B01128">
      <w:pPr>
        <w:jc w:val="center"/>
        <w:rPr>
          <w:sz w:val="28"/>
        </w:rPr>
      </w:pPr>
      <w:r>
        <w:rPr>
          <w:sz w:val="28"/>
        </w:rPr>
        <w:t>ФОРМА СХЕМЫ</w:t>
      </w:r>
    </w:p>
    <w:p w:rsidR="00B01128" w:rsidRDefault="00B01128" w:rsidP="00B01128">
      <w:pPr>
        <w:jc w:val="center"/>
        <w:rPr>
          <w:sz w:val="28"/>
        </w:rPr>
      </w:pPr>
      <w:r>
        <w:rPr>
          <w:sz w:val="28"/>
        </w:rPr>
        <w:t xml:space="preserve">размещения гаражей, являющихся некапитальными </w:t>
      </w:r>
    </w:p>
    <w:p w:rsidR="00B01128" w:rsidRDefault="00B01128" w:rsidP="00B01128">
      <w:pPr>
        <w:jc w:val="center"/>
        <w:rPr>
          <w:sz w:val="28"/>
        </w:rPr>
      </w:pPr>
      <w:r>
        <w:rPr>
          <w:sz w:val="28"/>
        </w:rPr>
        <w:t>сооружениями, либо стоянок технических или других средств</w:t>
      </w:r>
    </w:p>
    <w:p w:rsidR="00B01128" w:rsidRDefault="00B01128" w:rsidP="00B01128">
      <w:pPr>
        <w:jc w:val="center"/>
        <w:rPr>
          <w:sz w:val="28"/>
        </w:rPr>
      </w:pPr>
      <w:r>
        <w:rPr>
          <w:sz w:val="28"/>
        </w:rPr>
        <w:t xml:space="preserve">передвижения инвалидов вблизи их места жительства </w:t>
      </w:r>
    </w:p>
    <w:p w:rsidR="00B01128" w:rsidRDefault="00B01128" w:rsidP="00B01128">
      <w:pPr>
        <w:jc w:val="center"/>
        <w:rPr>
          <w:sz w:val="28"/>
        </w:rPr>
      </w:pPr>
    </w:p>
    <w:p w:rsidR="007D70B6" w:rsidRDefault="007D70B6" w:rsidP="00B01128">
      <w:pPr>
        <w:jc w:val="center"/>
        <w:rPr>
          <w:sz w:val="28"/>
        </w:rPr>
      </w:pPr>
    </w:p>
    <w:p w:rsidR="00B01128" w:rsidRDefault="00B01128" w:rsidP="00B01128">
      <w:pPr>
        <w:ind w:left="3686"/>
        <w:jc w:val="center"/>
        <w:rPr>
          <w:sz w:val="28"/>
        </w:rPr>
      </w:pPr>
      <w:r>
        <w:rPr>
          <w:sz w:val="28"/>
        </w:rPr>
        <w:t>Утверждена</w:t>
      </w:r>
    </w:p>
    <w:p w:rsidR="00B01128" w:rsidRDefault="00B01128" w:rsidP="00B01128">
      <w:pPr>
        <w:ind w:left="3686"/>
        <w:jc w:val="center"/>
        <w:rPr>
          <w:sz w:val="28"/>
        </w:rPr>
      </w:pPr>
      <w:r>
        <w:rPr>
          <w:sz w:val="28"/>
        </w:rPr>
        <w:t>____________________________________</w:t>
      </w:r>
    </w:p>
    <w:p w:rsidR="00B01128" w:rsidRDefault="00B01128" w:rsidP="00B01128">
      <w:pPr>
        <w:ind w:left="3686"/>
        <w:jc w:val="center"/>
      </w:pPr>
      <w:r>
        <w:t>(реквизиты правового акта органа местного</w:t>
      </w:r>
    </w:p>
    <w:p w:rsidR="00B01128" w:rsidRDefault="00B01128" w:rsidP="00B01128">
      <w:pPr>
        <w:ind w:left="3686"/>
        <w:jc w:val="center"/>
        <w:rPr>
          <w:sz w:val="28"/>
        </w:rPr>
      </w:pPr>
      <w:r>
        <w:rPr>
          <w:sz w:val="28"/>
        </w:rPr>
        <w:t>__________________________________________</w:t>
      </w:r>
    </w:p>
    <w:p w:rsidR="00B01128" w:rsidRDefault="00B01128" w:rsidP="00B01128">
      <w:pPr>
        <w:ind w:left="3686"/>
        <w:jc w:val="center"/>
      </w:pPr>
      <w:r>
        <w:t>самоуправления об утверждении схемы гаражей,</w:t>
      </w:r>
    </w:p>
    <w:p w:rsidR="00B01128" w:rsidRDefault="00B01128" w:rsidP="00B01128">
      <w:pPr>
        <w:ind w:left="3686"/>
        <w:jc w:val="center"/>
        <w:rPr>
          <w:sz w:val="28"/>
        </w:rPr>
      </w:pPr>
      <w:r>
        <w:rPr>
          <w:sz w:val="28"/>
        </w:rPr>
        <w:t>__________________________________________</w:t>
      </w:r>
    </w:p>
    <w:p w:rsidR="00B01128" w:rsidRDefault="00B01128" w:rsidP="00B01128">
      <w:pPr>
        <w:ind w:left="3686"/>
        <w:jc w:val="center"/>
      </w:pPr>
      <w:r>
        <w:t>являющихся некапитальными сооружениями, либо стоянок технических или других средств передвижения инвалидов вблизи их места жительства от _____ № ____)</w:t>
      </w:r>
    </w:p>
    <w:p w:rsidR="00B01128" w:rsidRDefault="00B01128" w:rsidP="00B01128">
      <w:pPr>
        <w:ind w:left="3686"/>
        <w:jc w:val="center"/>
        <w:rPr>
          <w:sz w:val="28"/>
        </w:rPr>
      </w:pPr>
    </w:p>
    <w:p w:rsidR="007D70B6" w:rsidRDefault="007D70B6" w:rsidP="00B01128">
      <w:pPr>
        <w:jc w:val="center"/>
        <w:rPr>
          <w:sz w:val="28"/>
        </w:rPr>
      </w:pPr>
    </w:p>
    <w:p w:rsidR="007D70B6" w:rsidRDefault="007D70B6" w:rsidP="00B01128">
      <w:pPr>
        <w:jc w:val="center"/>
        <w:rPr>
          <w:sz w:val="28"/>
        </w:rPr>
      </w:pPr>
    </w:p>
    <w:p w:rsidR="00B01128" w:rsidRDefault="00B01128" w:rsidP="00B01128">
      <w:pPr>
        <w:jc w:val="center"/>
        <w:rPr>
          <w:sz w:val="28"/>
        </w:rPr>
      </w:pPr>
      <w:r>
        <w:rPr>
          <w:sz w:val="28"/>
        </w:rPr>
        <w:t xml:space="preserve">Схема размещения гаражей, </w:t>
      </w:r>
    </w:p>
    <w:p w:rsidR="00B01128" w:rsidRDefault="00B01128" w:rsidP="00B01128">
      <w:pPr>
        <w:jc w:val="center"/>
        <w:rPr>
          <w:sz w:val="28"/>
        </w:rPr>
      </w:pPr>
      <w:r>
        <w:rPr>
          <w:sz w:val="28"/>
        </w:rPr>
        <w:t xml:space="preserve">являющихся некапитальными сооружениями, </w:t>
      </w:r>
    </w:p>
    <w:p w:rsidR="00B01128" w:rsidRDefault="00B01128" w:rsidP="00B01128">
      <w:pPr>
        <w:jc w:val="center"/>
        <w:rPr>
          <w:sz w:val="28"/>
        </w:rPr>
      </w:pPr>
      <w:r>
        <w:rPr>
          <w:sz w:val="28"/>
        </w:rPr>
        <w:t xml:space="preserve">либо стоянки технических средств или других средств </w:t>
      </w:r>
    </w:p>
    <w:p w:rsidR="00B01128" w:rsidRDefault="00B01128" w:rsidP="00B01128">
      <w:pPr>
        <w:jc w:val="center"/>
        <w:rPr>
          <w:sz w:val="28"/>
        </w:rPr>
      </w:pPr>
      <w:r>
        <w:rPr>
          <w:sz w:val="28"/>
        </w:rPr>
        <w:t>передвижения инвалидов вблизи их места жительства</w:t>
      </w:r>
    </w:p>
    <w:p w:rsidR="00B01128" w:rsidRDefault="00B01128" w:rsidP="00B01128">
      <w:pPr>
        <w:jc w:val="center"/>
        <w:rPr>
          <w:sz w:val="28"/>
        </w:rPr>
      </w:pPr>
      <w:r>
        <w:rPr>
          <w:sz w:val="28"/>
        </w:rPr>
        <w:t>__________________________________________________</w:t>
      </w:r>
    </w:p>
    <w:p w:rsidR="00B01128" w:rsidRDefault="00B01128" w:rsidP="00B01128">
      <w:pPr>
        <w:jc w:val="center"/>
      </w:pPr>
      <w:r>
        <w:t>(наименование поселения, городского округа)</w:t>
      </w:r>
    </w:p>
    <w:p w:rsidR="007D70B6" w:rsidRDefault="007D70B6" w:rsidP="00B01128">
      <w:pPr>
        <w:jc w:val="center"/>
        <w:rPr>
          <w:sz w:val="28"/>
        </w:rPr>
      </w:pPr>
    </w:p>
    <w:p w:rsidR="007D70B6" w:rsidRDefault="007D70B6" w:rsidP="00B01128">
      <w:pPr>
        <w:jc w:val="center"/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4A0"/>
      </w:tblPr>
      <w:tblGrid>
        <w:gridCol w:w="599"/>
        <w:gridCol w:w="2100"/>
        <w:gridCol w:w="1012"/>
        <w:gridCol w:w="826"/>
        <w:gridCol w:w="1961"/>
        <w:gridCol w:w="262"/>
        <w:gridCol w:w="1184"/>
        <w:gridCol w:w="1694"/>
      </w:tblGrid>
      <w:tr w:rsidR="00B01128" w:rsidTr="005869E6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Условный номер объекта 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Адресные ориентиры объекта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Кадастровый номер земельного участка 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объекта 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места размещения объекта, квадратных метров </w:t>
            </w:r>
            <w:r>
              <w:rPr>
                <w:sz w:val="28"/>
                <w:vertAlign w:val="superscript"/>
              </w:rPr>
              <w:t>4</w:t>
            </w:r>
          </w:p>
        </w:tc>
      </w:tr>
      <w:tr w:rsidR="00B01128" w:rsidTr="005869E6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01128" w:rsidTr="005869E6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</w:tr>
      <w:tr w:rsidR="00B01128" w:rsidTr="005869E6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</w:tr>
      <w:tr w:rsidR="00B01128" w:rsidTr="005869E6">
        <w:tc>
          <w:tcPr>
            <w:tcW w:w="96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rPr>
                <w:sz w:val="28"/>
              </w:rPr>
            </w:pPr>
            <w:r>
              <w:rPr>
                <w:sz w:val="28"/>
              </w:rPr>
              <w:t>Графическое изображение места (мест) размещения объекта (объектов)</w:t>
            </w:r>
          </w:p>
          <w:p w:rsidR="00B01128" w:rsidRDefault="00B01128" w:rsidP="005869E6">
            <w:pPr>
              <w:rPr>
                <w:sz w:val="28"/>
              </w:rPr>
            </w:pPr>
          </w:p>
          <w:p w:rsidR="00B01128" w:rsidRDefault="00B01128" w:rsidP="005869E6">
            <w:pPr>
              <w:rPr>
                <w:sz w:val="28"/>
              </w:rPr>
            </w:pPr>
          </w:p>
          <w:p w:rsidR="00B01128" w:rsidRDefault="00B01128" w:rsidP="005869E6">
            <w:pPr>
              <w:rPr>
                <w:sz w:val="28"/>
              </w:rPr>
            </w:pPr>
          </w:p>
          <w:p w:rsidR="00B01128" w:rsidRDefault="00B01128" w:rsidP="005869E6">
            <w:pPr>
              <w:rPr>
                <w:sz w:val="28"/>
              </w:rPr>
            </w:pPr>
          </w:p>
          <w:p w:rsidR="00B01128" w:rsidRDefault="00B01128" w:rsidP="005869E6">
            <w:pPr>
              <w:rPr>
                <w:sz w:val="28"/>
              </w:rPr>
            </w:pPr>
            <w:r>
              <w:rPr>
                <w:sz w:val="28"/>
              </w:rPr>
              <w:t>Лист №: ____________</w:t>
            </w:r>
          </w:p>
          <w:p w:rsidR="00B01128" w:rsidRDefault="00B01128" w:rsidP="005869E6">
            <w:pPr>
              <w:rPr>
                <w:sz w:val="28"/>
              </w:rPr>
            </w:pPr>
            <w:r>
              <w:rPr>
                <w:sz w:val="28"/>
              </w:rPr>
              <w:t xml:space="preserve">Масштаб </w:t>
            </w:r>
            <w:r>
              <w:rPr>
                <w:sz w:val="28"/>
                <w:vertAlign w:val="superscript"/>
              </w:rPr>
              <w:t>5</w:t>
            </w:r>
            <w:r>
              <w:rPr>
                <w:sz w:val="28"/>
              </w:rPr>
              <w:t>: ___________</w:t>
            </w:r>
          </w:p>
          <w:p w:rsidR="00B01128" w:rsidRDefault="00B01128" w:rsidP="005869E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Условные обозначения:</w:t>
            </w:r>
          </w:p>
        </w:tc>
      </w:tr>
      <w:tr w:rsidR="00B01128" w:rsidTr="005869E6">
        <w:trPr>
          <w:trHeight w:val="425"/>
        </w:trPr>
        <w:tc>
          <w:tcPr>
            <w:tcW w:w="96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Условный номер объекта 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:</w:t>
            </w:r>
          </w:p>
        </w:tc>
      </w:tr>
      <w:tr w:rsidR="00B01128" w:rsidTr="005869E6">
        <w:trPr>
          <w:trHeight w:val="417"/>
        </w:trPr>
        <w:tc>
          <w:tcPr>
            <w:tcW w:w="371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Обозначение характерных точек границ</w:t>
            </w:r>
          </w:p>
        </w:tc>
        <w:tc>
          <w:tcPr>
            <w:tcW w:w="59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Координаты </w:t>
            </w:r>
            <w:r>
              <w:rPr>
                <w:sz w:val="28"/>
                <w:vertAlign w:val="superscript"/>
              </w:rPr>
              <w:t>6</w:t>
            </w:r>
          </w:p>
        </w:tc>
      </w:tr>
      <w:tr w:rsidR="00B01128" w:rsidTr="005869E6">
        <w:trPr>
          <w:trHeight w:val="417"/>
        </w:trPr>
        <w:tc>
          <w:tcPr>
            <w:tcW w:w="371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</w:tcPr>
          <w:p w:rsidR="00B01128" w:rsidRDefault="00B01128" w:rsidP="005869E6"/>
        </w:tc>
        <w:tc>
          <w:tcPr>
            <w:tcW w:w="3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  <w:vAlign w:val="center"/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  <w:vAlign w:val="center"/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</w:tr>
      <w:tr w:rsidR="00B01128" w:rsidTr="005869E6">
        <w:trPr>
          <w:trHeight w:val="415"/>
        </w:trPr>
        <w:tc>
          <w:tcPr>
            <w:tcW w:w="3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  <w:vAlign w:val="center"/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  <w:vAlign w:val="center"/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  <w:vAlign w:val="center"/>
          </w:tcPr>
          <w:p w:rsidR="00B01128" w:rsidRDefault="00B01128" w:rsidP="00586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1128" w:rsidTr="005869E6">
        <w:trPr>
          <w:trHeight w:val="415"/>
        </w:trPr>
        <w:tc>
          <w:tcPr>
            <w:tcW w:w="3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  <w:vAlign w:val="center"/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  <w:vAlign w:val="center"/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  <w:vAlign w:val="center"/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</w:tr>
      <w:tr w:rsidR="00B01128" w:rsidTr="005869E6">
        <w:trPr>
          <w:trHeight w:val="415"/>
        </w:trPr>
        <w:tc>
          <w:tcPr>
            <w:tcW w:w="3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  <w:vAlign w:val="center"/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  <w:vAlign w:val="center"/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2" w:type="dxa"/>
              <w:right w:w="57" w:type="dxa"/>
            </w:tcMar>
            <w:vAlign w:val="center"/>
          </w:tcPr>
          <w:p w:rsidR="00B01128" w:rsidRDefault="00B01128" w:rsidP="005869E6">
            <w:pPr>
              <w:jc w:val="center"/>
              <w:rPr>
                <w:sz w:val="28"/>
              </w:rPr>
            </w:pPr>
          </w:p>
        </w:tc>
      </w:tr>
    </w:tbl>
    <w:p w:rsidR="00B01128" w:rsidRDefault="00B01128" w:rsidP="00B01128">
      <w:pPr>
        <w:jc w:val="both"/>
        <w:rPr>
          <w:sz w:val="28"/>
        </w:rPr>
      </w:pPr>
      <w:r>
        <w:rPr>
          <w:sz w:val="28"/>
        </w:rPr>
        <w:t>_____________________</w:t>
      </w:r>
    </w:p>
    <w:p w:rsidR="00B01128" w:rsidRDefault="00B01128" w:rsidP="00B0112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Указывается условный номер объекта, представляющий собой последовательный ряд цифр, состоящий из трех позиций:</w:t>
      </w:r>
    </w:p>
    <w:p w:rsidR="00B01128" w:rsidRDefault="00B01128" w:rsidP="00B01128">
      <w:pPr>
        <w:ind w:firstLine="709"/>
        <w:jc w:val="both"/>
        <w:rPr>
          <w:sz w:val="28"/>
        </w:rPr>
      </w:pPr>
      <w:r>
        <w:rPr>
          <w:sz w:val="28"/>
        </w:rPr>
        <w:t>позиция 1 – порядковый номер листа (1, 2, …n);</w:t>
      </w:r>
    </w:p>
    <w:p w:rsidR="00B01128" w:rsidRDefault="00B01128" w:rsidP="00B01128">
      <w:pPr>
        <w:ind w:firstLine="709"/>
        <w:jc w:val="both"/>
        <w:rPr>
          <w:sz w:val="28"/>
        </w:rPr>
      </w:pPr>
      <w:r>
        <w:rPr>
          <w:sz w:val="28"/>
        </w:rPr>
        <w:t>позиция 2 – обозначение вида объекта (Г – гараж, С – стоянка);</w:t>
      </w:r>
    </w:p>
    <w:p w:rsidR="00B01128" w:rsidRDefault="00B01128" w:rsidP="00B01128">
      <w:pPr>
        <w:ind w:firstLine="709"/>
        <w:jc w:val="both"/>
        <w:rPr>
          <w:sz w:val="28"/>
        </w:rPr>
      </w:pPr>
      <w:r>
        <w:rPr>
          <w:sz w:val="28"/>
        </w:rPr>
        <w:t>позиция 3 – порядковый номер объекта (1, 2, …n).</w:t>
      </w:r>
    </w:p>
    <w:p w:rsidR="00B01128" w:rsidRDefault="00B01128" w:rsidP="00B0112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2 </w:t>
      </w:r>
      <w:r>
        <w:rPr>
          <w:sz w:val="28"/>
        </w:rPr>
        <w:t>Указывается при наличии кадастрового номера земельного участка.</w:t>
      </w:r>
    </w:p>
    <w:p w:rsidR="00B01128" w:rsidRDefault="00B01128" w:rsidP="00B0112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3 </w:t>
      </w:r>
      <w:r>
        <w:rPr>
          <w:sz w:val="28"/>
        </w:rPr>
        <w:t>Указывается вид объекта (гараж, стоянка).</w:t>
      </w:r>
    </w:p>
    <w:p w:rsidR="00B01128" w:rsidRDefault="00B01128" w:rsidP="00B0112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> Указывается площадь места размещения объекта, вычисленная с 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«Интернет» с округлением до 1 квадратного метра.</w:t>
      </w:r>
    </w:p>
    <w:p w:rsidR="00B01128" w:rsidRDefault="00B01128" w:rsidP="00B0112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> Графическая часть Схемы размещения объектов разрабатывается в виде плана в одном из следующих масштабов 1:2000, 1:1000, 1:500.</w:t>
      </w:r>
    </w:p>
    <w:p w:rsidR="00B01128" w:rsidRDefault="00B01128" w:rsidP="00B01128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> Указываются значения координат, полученные с использованием технологических и программных средств, в том числе размещенных на 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 информационно-телекоммуникационной сети «Интернет», с округлением до 0,01 метра.</w:t>
      </w:r>
    </w:p>
    <w:p w:rsidR="00B01128" w:rsidRDefault="00B01128" w:rsidP="00B01128">
      <w:pPr>
        <w:jc w:val="both"/>
        <w:rPr>
          <w:sz w:val="28"/>
        </w:rPr>
      </w:pPr>
    </w:p>
    <w:p w:rsidR="00B01128" w:rsidRDefault="00B01128" w:rsidP="00B01128">
      <w:pPr>
        <w:rPr>
          <w:sz w:val="28"/>
        </w:rPr>
      </w:pPr>
    </w:p>
    <w:p w:rsidR="00B01128" w:rsidRDefault="00B01128" w:rsidP="00B01128">
      <w:pPr>
        <w:tabs>
          <w:tab w:val="left" w:pos="7655"/>
        </w:tabs>
        <w:spacing w:line="216" w:lineRule="auto"/>
        <w:rPr>
          <w:sz w:val="28"/>
        </w:rPr>
      </w:pPr>
      <w:r>
        <w:rPr>
          <w:sz w:val="28"/>
        </w:rPr>
        <w:t xml:space="preserve">Глава Администрации </w:t>
      </w:r>
    </w:p>
    <w:p w:rsidR="00B01128" w:rsidRDefault="00B01128" w:rsidP="00B01128">
      <w:pPr>
        <w:tabs>
          <w:tab w:val="left" w:pos="7655"/>
        </w:tabs>
        <w:spacing w:line="216" w:lineRule="auto"/>
        <w:rPr>
          <w:sz w:val="28"/>
        </w:rPr>
      </w:pPr>
      <w:r>
        <w:rPr>
          <w:sz w:val="28"/>
        </w:rPr>
        <w:t>Саркеловского сельского поселения</w:t>
      </w:r>
      <w:r>
        <w:rPr>
          <w:sz w:val="28"/>
        </w:rPr>
        <w:tab/>
        <w:t>Г.А. Бурняшев</w:t>
      </w:r>
    </w:p>
    <w:p w:rsidR="00867B51" w:rsidRDefault="00867B51">
      <w:pPr>
        <w:jc w:val="both"/>
        <w:rPr>
          <w:color w:val="216BEC"/>
          <w:sz w:val="28"/>
        </w:rPr>
      </w:pPr>
    </w:p>
    <w:sectPr w:rsidR="00867B51" w:rsidSect="00C55C71">
      <w:pgSz w:w="11906" w:h="16838"/>
      <w:pgMar w:top="284" w:right="849" w:bottom="426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7B51"/>
    <w:rsid w:val="007D70B6"/>
    <w:rsid w:val="00867B51"/>
    <w:rsid w:val="00B01128"/>
    <w:rsid w:val="00B42A5F"/>
    <w:rsid w:val="00C343CB"/>
    <w:rsid w:val="00C55C71"/>
    <w:rsid w:val="00CF7897"/>
    <w:rsid w:val="00F9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3A0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93A04"/>
    <w:pPr>
      <w:keepNext/>
      <w:jc w:val="center"/>
      <w:outlineLvl w:val="0"/>
    </w:pPr>
    <w:rPr>
      <w:b/>
      <w:sz w:val="52"/>
    </w:rPr>
  </w:style>
  <w:style w:type="paragraph" w:styleId="2">
    <w:name w:val="heading 2"/>
    <w:next w:val="a"/>
    <w:link w:val="20"/>
    <w:uiPriority w:val="9"/>
    <w:qFormat/>
    <w:rsid w:val="00F93A0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93A04"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rsid w:val="00F93A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93A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3A04"/>
    <w:rPr>
      <w:sz w:val="24"/>
    </w:rPr>
  </w:style>
  <w:style w:type="paragraph" w:styleId="a3">
    <w:name w:val="Balloon Text"/>
    <w:basedOn w:val="a"/>
    <w:link w:val="a4"/>
    <w:rsid w:val="00F93A0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93A04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F93A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93A04"/>
    <w:rPr>
      <w:rFonts w:ascii="XO Thames" w:hAnsi="XO Thames"/>
      <w:sz w:val="28"/>
    </w:rPr>
  </w:style>
  <w:style w:type="paragraph" w:styleId="a5">
    <w:name w:val="No Spacing"/>
    <w:link w:val="a6"/>
    <w:rsid w:val="00F93A04"/>
    <w:rPr>
      <w:sz w:val="24"/>
    </w:rPr>
  </w:style>
  <w:style w:type="character" w:customStyle="1" w:styleId="a6">
    <w:name w:val="Без интервала Знак"/>
    <w:link w:val="a5"/>
    <w:rsid w:val="00F93A04"/>
    <w:rPr>
      <w:sz w:val="24"/>
    </w:rPr>
  </w:style>
  <w:style w:type="paragraph" w:styleId="41">
    <w:name w:val="toc 4"/>
    <w:next w:val="a"/>
    <w:link w:val="42"/>
    <w:uiPriority w:val="39"/>
    <w:rsid w:val="00F93A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93A0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93A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93A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93A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93A04"/>
    <w:rPr>
      <w:rFonts w:ascii="XO Thames" w:hAnsi="XO Thames"/>
      <w:sz w:val="28"/>
    </w:rPr>
  </w:style>
  <w:style w:type="paragraph" w:customStyle="1" w:styleId="normaltextrun">
    <w:name w:val="normaltextrun"/>
    <w:link w:val="normaltextrun0"/>
    <w:rsid w:val="00F93A04"/>
  </w:style>
  <w:style w:type="character" w:customStyle="1" w:styleId="normaltextrun0">
    <w:name w:val="normaltextrun"/>
    <w:link w:val="normaltextrun"/>
    <w:rsid w:val="00F93A04"/>
    <w:rPr>
      <w:color w:val="000000"/>
    </w:rPr>
  </w:style>
  <w:style w:type="character" w:customStyle="1" w:styleId="30">
    <w:name w:val="Заголовок 3 Знак"/>
    <w:basedOn w:val="1"/>
    <w:link w:val="3"/>
    <w:rsid w:val="00F93A04"/>
    <w:rPr>
      <w:rFonts w:ascii="Calibri Light" w:hAnsi="Calibri Light"/>
      <w:b/>
      <w:sz w:val="26"/>
    </w:rPr>
  </w:style>
  <w:style w:type="paragraph" w:styleId="a7">
    <w:name w:val="Body Text Indent"/>
    <w:basedOn w:val="a"/>
    <w:link w:val="a8"/>
    <w:rsid w:val="00F93A04"/>
    <w:pPr>
      <w:ind w:firstLine="440"/>
      <w:jc w:val="both"/>
    </w:pPr>
  </w:style>
  <w:style w:type="character" w:customStyle="1" w:styleId="a8">
    <w:name w:val="Основной текст с отступом Знак"/>
    <w:basedOn w:val="1"/>
    <w:link w:val="a7"/>
    <w:rsid w:val="00F93A04"/>
    <w:rPr>
      <w:sz w:val="24"/>
    </w:rPr>
  </w:style>
  <w:style w:type="paragraph" w:styleId="a9">
    <w:name w:val="header"/>
    <w:basedOn w:val="a"/>
    <w:link w:val="aa"/>
    <w:rsid w:val="00F93A0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"/>
    <w:link w:val="a9"/>
    <w:rsid w:val="00F93A04"/>
    <w:rPr>
      <w:sz w:val="24"/>
    </w:rPr>
  </w:style>
  <w:style w:type="paragraph" w:customStyle="1" w:styleId="spellingerror">
    <w:name w:val="spellingerror"/>
    <w:link w:val="spellingerror0"/>
    <w:rsid w:val="00F93A04"/>
  </w:style>
  <w:style w:type="character" w:customStyle="1" w:styleId="spellingerror0">
    <w:name w:val="spellingerror"/>
    <w:link w:val="spellingerror"/>
    <w:rsid w:val="00F93A04"/>
    <w:rPr>
      <w:color w:val="000000"/>
    </w:rPr>
  </w:style>
  <w:style w:type="paragraph" w:customStyle="1" w:styleId="rvts6">
    <w:name w:val="rvts6"/>
    <w:basedOn w:val="12"/>
    <w:link w:val="rvts60"/>
    <w:rsid w:val="00F93A04"/>
  </w:style>
  <w:style w:type="character" w:customStyle="1" w:styleId="rvts60">
    <w:name w:val="rvts6"/>
    <w:basedOn w:val="a0"/>
    <w:link w:val="rvts6"/>
    <w:rsid w:val="00F93A04"/>
  </w:style>
  <w:style w:type="paragraph" w:customStyle="1" w:styleId="rvts7">
    <w:name w:val="rvts7"/>
    <w:basedOn w:val="12"/>
    <w:link w:val="rvts70"/>
    <w:rsid w:val="00F93A04"/>
  </w:style>
  <w:style w:type="character" w:customStyle="1" w:styleId="rvts70">
    <w:name w:val="rvts7"/>
    <w:basedOn w:val="a0"/>
    <w:link w:val="rvts7"/>
    <w:rsid w:val="00F93A04"/>
  </w:style>
  <w:style w:type="paragraph" w:customStyle="1" w:styleId="13">
    <w:name w:val="Знак1"/>
    <w:basedOn w:val="a"/>
    <w:link w:val="14"/>
    <w:rsid w:val="00F93A04"/>
    <w:pPr>
      <w:spacing w:beforeAutospacing="1" w:afterAutospacing="1"/>
    </w:pPr>
    <w:rPr>
      <w:rFonts w:ascii="Tahoma" w:hAnsi="Tahoma"/>
      <w:sz w:val="20"/>
    </w:rPr>
  </w:style>
  <w:style w:type="character" w:customStyle="1" w:styleId="14">
    <w:name w:val="Знак1"/>
    <w:basedOn w:val="1"/>
    <w:link w:val="13"/>
    <w:rsid w:val="00F93A04"/>
    <w:rPr>
      <w:rFonts w:ascii="Tahoma" w:hAnsi="Tahoma"/>
      <w:sz w:val="20"/>
    </w:rPr>
  </w:style>
  <w:style w:type="paragraph" w:customStyle="1" w:styleId="0">
    <w:name w:val="Знак Знак Знак_0"/>
    <w:basedOn w:val="a"/>
    <w:link w:val="00"/>
    <w:rsid w:val="00F93A04"/>
    <w:pPr>
      <w:spacing w:after="160" w:line="240" w:lineRule="exact"/>
    </w:pPr>
    <w:rPr>
      <w:rFonts w:ascii="Verdana" w:hAnsi="Verdana"/>
      <w:sz w:val="20"/>
    </w:rPr>
  </w:style>
  <w:style w:type="character" w:customStyle="1" w:styleId="00">
    <w:name w:val="Знак Знак Знак_0"/>
    <w:basedOn w:val="1"/>
    <w:link w:val="0"/>
    <w:rsid w:val="00F93A04"/>
    <w:rPr>
      <w:rFonts w:ascii="Verdana" w:hAnsi="Verdana"/>
      <w:sz w:val="20"/>
    </w:rPr>
  </w:style>
  <w:style w:type="paragraph" w:customStyle="1" w:styleId="ConsNormal">
    <w:name w:val="ConsNormal"/>
    <w:link w:val="ConsNormal0"/>
    <w:rsid w:val="00F93A04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F93A04"/>
    <w:rPr>
      <w:rFonts w:ascii="Arial" w:hAnsi="Arial"/>
      <w:sz w:val="28"/>
    </w:rPr>
  </w:style>
  <w:style w:type="paragraph" w:styleId="31">
    <w:name w:val="toc 3"/>
    <w:next w:val="a"/>
    <w:link w:val="32"/>
    <w:uiPriority w:val="39"/>
    <w:rsid w:val="00F93A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93A04"/>
    <w:rPr>
      <w:rFonts w:ascii="XO Thames" w:hAnsi="XO Thames"/>
      <w:sz w:val="28"/>
    </w:rPr>
  </w:style>
  <w:style w:type="paragraph" w:styleId="ab">
    <w:name w:val="footer"/>
    <w:basedOn w:val="a"/>
    <w:link w:val="ac"/>
    <w:rsid w:val="00F93A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F93A04"/>
    <w:rPr>
      <w:sz w:val="24"/>
    </w:rPr>
  </w:style>
  <w:style w:type="paragraph" w:customStyle="1" w:styleId="contextualspellingandgrammarerror">
    <w:name w:val="contextualspellingandgrammarerror"/>
    <w:link w:val="contextualspellingandgrammarerror0"/>
    <w:rsid w:val="00F93A04"/>
  </w:style>
  <w:style w:type="character" w:customStyle="1" w:styleId="contextualspellingandgrammarerror0">
    <w:name w:val="contextualspellingandgrammarerror"/>
    <w:link w:val="contextualspellingandgrammarerror"/>
    <w:rsid w:val="00F93A04"/>
    <w:rPr>
      <w:color w:val="000000"/>
    </w:rPr>
  </w:style>
  <w:style w:type="paragraph" w:customStyle="1" w:styleId="eop">
    <w:name w:val="eop"/>
    <w:link w:val="eop0"/>
    <w:rsid w:val="00F93A04"/>
  </w:style>
  <w:style w:type="character" w:customStyle="1" w:styleId="eop0">
    <w:name w:val="eop"/>
    <w:link w:val="eop"/>
    <w:rsid w:val="00F93A04"/>
    <w:rPr>
      <w:color w:val="000000"/>
    </w:rPr>
  </w:style>
  <w:style w:type="character" w:customStyle="1" w:styleId="50">
    <w:name w:val="Заголовок 5 Знак"/>
    <w:link w:val="5"/>
    <w:rsid w:val="00F93A04"/>
    <w:rPr>
      <w:rFonts w:ascii="XO Thames" w:hAnsi="XO Thames"/>
      <w:b/>
      <w:sz w:val="22"/>
    </w:rPr>
  </w:style>
  <w:style w:type="paragraph" w:customStyle="1" w:styleId="61">
    <w:name w:val="Знак6"/>
    <w:basedOn w:val="a"/>
    <w:link w:val="62"/>
    <w:rsid w:val="00F93A04"/>
    <w:pPr>
      <w:spacing w:after="160" w:line="240" w:lineRule="exact"/>
    </w:pPr>
    <w:rPr>
      <w:rFonts w:ascii="Verdana" w:hAnsi="Verdana"/>
      <w:sz w:val="20"/>
    </w:rPr>
  </w:style>
  <w:style w:type="character" w:customStyle="1" w:styleId="62">
    <w:name w:val="Знак6"/>
    <w:basedOn w:val="1"/>
    <w:link w:val="61"/>
    <w:rsid w:val="00F93A04"/>
    <w:rPr>
      <w:rFonts w:ascii="Verdana" w:hAnsi="Verdana"/>
      <w:sz w:val="20"/>
    </w:rPr>
  </w:style>
  <w:style w:type="paragraph" w:customStyle="1" w:styleId="apple-converted-space">
    <w:name w:val="apple-converted-space"/>
    <w:link w:val="apple-converted-space0"/>
    <w:rsid w:val="00F93A04"/>
  </w:style>
  <w:style w:type="character" w:customStyle="1" w:styleId="apple-converted-space0">
    <w:name w:val="apple-converted-space"/>
    <w:link w:val="apple-converted-space"/>
    <w:rsid w:val="00F93A04"/>
  </w:style>
  <w:style w:type="character" w:customStyle="1" w:styleId="11">
    <w:name w:val="Заголовок 1 Знак"/>
    <w:basedOn w:val="1"/>
    <w:link w:val="10"/>
    <w:rsid w:val="00F93A04"/>
    <w:rPr>
      <w:b/>
      <w:sz w:val="52"/>
    </w:rPr>
  </w:style>
  <w:style w:type="paragraph" w:customStyle="1" w:styleId="15">
    <w:name w:val="Гиперссылка1"/>
    <w:link w:val="ad"/>
    <w:rsid w:val="00F93A04"/>
    <w:rPr>
      <w:color w:val="0000FF"/>
      <w:u w:val="single"/>
    </w:rPr>
  </w:style>
  <w:style w:type="character" w:styleId="ad">
    <w:name w:val="Hyperlink"/>
    <w:link w:val="15"/>
    <w:rsid w:val="00F93A04"/>
    <w:rPr>
      <w:color w:val="0000FF"/>
      <w:u w:val="single"/>
    </w:rPr>
  </w:style>
  <w:style w:type="paragraph" w:customStyle="1" w:styleId="Footnote">
    <w:name w:val="Footnote"/>
    <w:link w:val="Footnote0"/>
    <w:rsid w:val="00F93A0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93A04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93A0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93A04"/>
    <w:rPr>
      <w:rFonts w:ascii="XO Thames" w:hAnsi="XO Thames"/>
      <w:b/>
      <w:sz w:val="28"/>
    </w:rPr>
  </w:style>
  <w:style w:type="paragraph" w:styleId="ae">
    <w:name w:val="Body Text"/>
    <w:basedOn w:val="a"/>
    <w:link w:val="af"/>
    <w:rsid w:val="00F93A04"/>
    <w:pPr>
      <w:spacing w:after="120"/>
    </w:pPr>
  </w:style>
  <w:style w:type="character" w:customStyle="1" w:styleId="af">
    <w:name w:val="Основной текст Знак"/>
    <w:basedOn w:val="1"/>
    <w:link w:val="ae"/>
    <w:rsid w:val="00F93A04"/>
    <w:rPr>
      <w:sz w:val="24"/>
    </w:rPr>
  </w:style>
  <w:style w:type="paragraph" w:styleId="af0">
    <w:name w:val="Plain Text"/>
    <w:basedOn w:val="a"/>
    <w:link w:val="af1"/>
    <w:rsid w:val="00F93A04"/>
    <w:rPr>
      <w:rFonts w:ascii="Courier New" w:hAnsi="Courier New"/>
      <w:sz w:val="20"/>
    </w:rPr>
  </w:style>
  <w:style w:type="character" w:customStyle="1" w:styleId="af1">
    <w:name w:val="Текст Знак"/>
    <w:basedOn w:val="1"/>
    <w:link w:val="af0"/>
    <w:rsid w:val="00F93A04"/>
    <w:rPr>
      <w:rFonts w:ascii="Courier New" w:hAnsi="Courier New"/>
      <w:color w:val="000000"/>
      <w:sz w:val="20"/>
    </w:rPr>
  </w:style>
  <w:style w:type="paragraph" w:customStyle="1" w:styleId="HeaderandFooter">
    <w:name w:val="Header and Footer"/>
    <w:link w:val="HeaderandFooter0"/>
    <w:rsid w:val="00F93A0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93A04"/>
    <w:rPr>
      <w:rFonts w:ascii="XO Thames" w:hAnsi="XO Thames"/>
      <w:sz w:val="20"/>
    </w:rPr>
  </w:style>
  <w:style w:type="paragraph" w:customStyle="1" w:styleId="paragraph">
    <w:name w:val="paragraph"/>
    <w:basedOn w:val="a"/>
    <w:link w:val="paragraph0"/>
    <w:rsid w:val="00F93A04"/>
    <w:pPr>
      <w:spacing w:beforeAutospacing="1" w:afterAutospacing="1"/>
    </w:pPr>
  </w:style>
  <w:style w:type="character" w:customStyle="1" w:styleId="paragraph0">
    <w:name w:val="paragraph"/>
    <w:basedOn w:val="1"/>
    <w:link w:val="paragraph"/>
    <w:rsid w:val="00F93A04"/>
    <w:rPr>
      <w:color w:val="000000"/>
      <w:sz w:val="24"/>
    </w:rPr>
  </w:style>
  <w:style w:type="paragraph" w:styleId="9">
    <w:name w:val="toc 9"/>
    <w:next w:val="a"/>
    <w:link w:val="90"/>
    <w:uiPriority w:val="39"/>
    <w:rsid w:val="00F93A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93A04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F93A04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F93A04"/>
    <w:rPr>
      <w:rFonts w:ascii="Courier New" w:hAnsi="Courier New"/>
      <w:sz w:val="28"/>
    </w:rPr>
  </w:style>
  <w:style w:type="paragraph" w:customStyle="1" w:styleId="18">
    <w:name w:val="Просмотренная гиперссылка1"/>
    <w:link w:val="af2"/>
    <w:rsid w:val="00F93A04"/>
    <w:rPr>
      <w:color w:val="954F72"/>
      <w:u w:val="single"/>
    </w:rPr>
  </w:style>
  <w:style w:type="character" w:styleId="af2">
    <w:name w:val="FollowedHyperlink"/>
    <w:link w:val="18"/>
    <w:rsid w:val="00F93A04"/>
    <w:rPr>
      <w:color w:val="954F72"/>
      <w:u w:val="single"/>
    </w:rPr>
  </w:style>
  <w:style w:type="paragraph" w:styleId="8">
    <w:name w:val="toc 8"/>
    <w:next w:val="a"/>
    <w:link w:val="80"/>
    <w:uiPriority w:val="39"/>
    <w:rsid w:val="00F93A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93A04"/>
    <w:rPr>
      <w:rFonts w:ascii="XO Thames" w:hAnsi="XO Thames"/>
      <w:sz w:val="28"/>
    </w:rPr>
  </w:style>
  <w:style w:type="paragraph" w:customStyle="1" w:styleId="19">
    <w:name w:val="Строгий1"/>
    <w:link w:val="af3"/>
    <w:rsid w:val="00F93A04"/>
    <w:rPr>
      <w:b/>
    </w:rPr>
  </w:style>
  <w:style w:type="character" w:styleId="af3">
    <w:name w:val="Strong"/>
    <w:link w:val="19"/>
    <w:rsid w:val="00F93A04"/>
    <w:rPr>
      <w:b/>
    </w:rPr>
  </w:style>
  <w:style w:type="paragraph" w:customStyle="1" w:styleId="ConsPlusNonformat">
    <w:name w:val="ConsPlusNonformat"/>
    <w:link w:val="ConsPlusNonformat0"/>
    <w:rsid w:val="00F93A0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93A04"/>
    <w:rPr>
      <w:rFonts w:ascii="Courier New" w:hAnsi="Courier New"/>
    </w:rPr>
  </w:style>
  <w:style w:type="paragraph" w:customStyle="1" w:styleId="postal-code">
    <w:name w:val="postal-code"/>
    <w:link w:val="postal-code0"/>
    <w:rsid w:val="00F93A04"/>
  </w:style>
  <w:style w:type="character" w:customStyle="1" w:styleId="postal-code0">
    <w:name w:val="postal-code"/>
    <w:link w:val="postal-code"/>
    <w:rsid w:val="00F93A04"/>
  </w:style>
  <w:style w:type="paragraph" w:customStyle="1" w:styleId="ConsPlusTitle">
    <w:name w:val="ConsPlusTitle"/>
    <w:link w:val="ConsPlusTitle0"/>
    <w:rsid w:val="00F93A04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93A04"/>
    <w:rPr>
      <w:rFonts w:ascii="Arial" w:hAnsi="Arial"/>
      <w:b/>
    </w:rPr>
  </w:style>
  <w:style w:type="paragraph" w:styleId="23">
    <w:name w:val="Body Text 2"/>
    <w:basedOn w:val="a"/>
    <w:link w:val="24"/>
    <w:rsid w:val="00F93A0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F93A04"/>
    <w:rPr>
      <w:sz w:val="24"/>
    </w:rPr>
  </w:style>
  <w:style w:type="paragraph" w:customStyle="1" w:styleId="ConsPlusNormal">
    <w:name w:val="ConsPlusNormal"/>
    <w:link w:val="ConsPlusNormal0"/>
    <w:rsid w:val="00F93A0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93A04"/>
    <w:rPr>
      <w:rFonts w:ascii="Arial" w:hAnsi="Arial"/>
    </w:rPr>
  </w:style>
  <w:style w:type="paragraph" w:styleId="51">
    <w:name w:val="toc 5"/>
    <w:next w:val="a"/>
    <w:link w:val="52"/>
    <w:uiPriority w:val="39"/>
    <w:rsid w:val="00F93A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93A04"/>
    <w:rPr>
      <w:rFonts w:ascii="XO Thames" w:hAnsi="XO Thames"/>
      <w:sz w:val="28"/>
    </w:rPr>
  </w:style>
  <w:style w:type="paragraph" w:customStyle="1" w:styleId="1a">
    <w:name w:val="нум список 1"/>
    <w:basedOn w:val="1b"/>
    <w:link w:val="1c"/>
    <w:rsid w:val="00F93A04"/>
  </w:style>
  <w:style w:type="character" w:customStyle="1" w:styleId="1c">
    <w:name w:val="нум список 1"/>
    <w:basedOn w:val="1d"/>
    <w:link w:val="1a"/>
    <w:rsid w:val="00F93A04"/>
    <w:rPr>
      <w:sz w:val="24"/>
    </w:rPr>
  </w:style>
  <w:style w:type="paragraph" w:customStyle="1" w:styleId="1b">
    <w:name w:val="марк список 1"/>
    <w:basedOn w:val="a"/>
    <w:link w:val="1d"/>
    <w:rsid w:val="00F93A04"/>
    <w:pPr>
      <w:tabs>
        <w:tab w:val="left" w:pos="360"/>
      </w:tabs>
      <w:spacing w:before="120" w:after="120"/>
      <w:jc w:val="both"/>
    </w:pPr>
  </w:style>
  <w:style w:type="character" w:customStyle="1" w:styleId="1d">
    <w:name w:val="марк список 1"/>
    <w:basedOn w:val="1"/>
    <w:link w:val="1b"/>
    <w:rsid w:val="00F93A04"/>
    <w:rPr>
      <w:sz w:val="24"/>
    </w:rPr>
  </w:style>
  <w:style w:type="paragraph" w:styleId="af4">
    <w:name w:val="Normal (Web)"/>
    <w:basedOn w:val="a"/>
    <w:link w:val="af5"/>
    <w:rsid w:val="00F93A04"/>
    <w:pPr>
      <w:spacing w:beforeAutospacing="1" w:afterAutospacing="1"/>
    </w:pPr>
  </w:style>
  <w:style w:type="character" w:customStyle="1" w:styleId="af5">
    <w:name w:val="Обычный (веб) Знак"/>
    <w:basedOn w:val="1"/>
    <w:link w:val="af4"/>
    <w:rsid w:val="00F93A04"/>
    <w:rPr>
      <w:sz w:val="24"/>
    </w:rPr>
  </w:style>
  <w:style w:type="paragraph" w:styleId="af6">
    <w:name w:val="List Paragraph"/>
    <w:basedOn w:val="a"/>
    <w:link w:val="af7"/>
    <w:rsid w:val="00F93A04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sid w:val="00F93A04"/>
    <w:rPr>
      <w:sz w:val="24"/>
    </w:rPr>
  </w:style>
  <w:style w:type="paragraph" w:styleId="af8">
    <w:name w:val="Subtitle"/>
    <w:basedOn w:val="a"/>
    <w:link w:val="af9"/>
    <w:uiPriority w:val="11"/>
    <w:qFormat/>
    <w:rsid w:val="00F93A04"/>
    <w:pPr>
      <w:jc w:val="center"/>
    </w:pPr>
    <w:rPr>
      <w:sz w:val="32"/>
    </w:rPr>
  </w:style>
  <w:style w:type="character" w:customStyle="1" w:styleId="af9">
    <w:name w:val="Подзаголовок Знак"/>
    <w:basedOn w:val="1"/>
    <w:link w:val="af8"/>
    <w:rsid w:val="00F93A04"/>
    <w:rPr>
      <w:sz w:val="32"/>
    </w:rPr>
  </w:style>
  <w:style w:type="paragraph" w:customStyle="1" w:styleId="street-address">
    <w:name w:val="street-address"/>
    <w:link w:val="street-address0"/>
    <w:rsid w:val="00F93A04"/>
  </w:style>
  <w:style w:type="character" w:customStyle="1" w:styleId="street-address0">
    <w:name w:val="street-address"/>
    <w:link w:val="street-address"/>
    <w:rsid w:val="00F93A04"/>
  </w:style>
  <w:style w:type="paragraph" w:styleId="afa">
    <w:name w:val="Title"/>
    <w:basedOn w:val="a"/>
    <w:link w:val="afb"/>
    <w:uiPriority w:val="10"/>
    <w:qFormat/>
    <w:rsid w:val="00F93A04"/>
    <w:pPr>
      <w:jc w:val="center"/>
    </w:pPr>
  </w:style>
  <w:style w:type="character" w:customStyle="1" w:styleId="afb">
    <w:name w:val="Название Знак"/>
    <w:basedOn w:val="1"/>
    <w:link w:val="afa"/>
    <w:rsid w:val="00F93A04"/>
    <w:rPr>
      <w:sz w:val="24"/>
    </w:rPr>
  </w:style>
  <w:style w:type="character" w:customStyle="1" w:styleId="40">
    <w:name w:val="Заголовок 4 Знак"/>
    <w:link w:val="4"/>
    <w:rsid w:val="00F93A04"/>
    <w:rPr>
      <w:rFonts w:ascii="XO Thames" w:hAnsi="XO Thames"/>
      <w:b/>
      <w:sz w:val="24"/>
    </w:rPr>
  </w:style>
  <w:style w:type="paragraph" w:customStyle="1" w:styleId="afc">
    <w:name w:val="Знак Знак Знак"/>
    <w:basedOn w:val="a"/>
    <w:link w:val="afd"/>
    <w:rsid w:val="00F93A04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"/>
    <w:basedOn w:val="1"/>
    <w:link w:val="afc"/>
    <w:rsid w:val="00F93A04"/>
    <w:rPr>
      <w:rFonts w:ascii="Verdana" w:hAnsi="Verdana"/>
      <w:sz w:val="20"/>
    </w:rPr>
  </w:style>
  <w:style w:type="paragraph" w:customStyle="1" w:styleId="locality">
    <w:name w:val="locality"/>
    <w:link w:val="locality0"/>
    <w:rsid w:val="00F93A04"/>
  </w:style>
  <w:style w:type="character" w:customStyle="1" w:styleId="locality0">
    <w:name w:val="locality"/>
    <w:link w:val="locality"/>
    <w:rsid w:val="00F93A04"/>
  </w:style>
  <w:style w:type="character" w:customStyle="1" w:styleId="20">
    <w:name w:val="Заголовок 2 Знак"/>
    <w:link w:val="2"/>
    <w:rsid w:val="00F93A04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afe"/>
    <w:rsid w:val="00F93A04"/>
  </w:style>
  <w:style w:type="table" w:styleId="afe">
    <w:name w:val="Table Grid"/>
    <w:basedOn w:val="a1"/>
    <w:link w:val="12"/>
    <w:rsid w:val="00F93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Фая</cp:lastModifiedBy>
  <cp:revision>7</cp:revision>
  <cp:lastPrinted>2022-08-01T10:27:00Z</cp:lastPrinted>
  <dcterms:created xsi:type="dcterms:W3CDTF">2022-07-04T07:05:00Z</dcterms:created>
  <dcterms:modified xsi:type="dcterms:W3CDTF">2022-08-01T10:30:00Z</dcterms:modified>
</cp:coreProperties>
</file>